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粗黑宋简体" w:eastAsia="方正小标宋简体"/>
          <w:sz w:val="44"/>
          <w:szCs w:val="44"/>
        </w:rPr>
      </w:pPr>
    </w:p>
    <w:p>
      <w:pPr>
        <w:spacing w:line="570" w:lineRule="exact"/>
        <w:jc w:val="center"/>
        <w:rPr>
          <w:rFonts w:ascii="方正小标宋简体" w:hAnsi="方正粗黑宋简体" w:eastAsia="方正小标宋简体"/>
          <w:sz w:val="44"/>
          <w:szCs w:val="44"/>
        </w:rPr>
      </w:pPr>
      <w:r>
        <w:rPr>
          <w:rFonts w:hint="eastAsia" w:ascii="方正小标宋简体" w:hAnsi="方正粗黑宋简体" w:eastAsia="方正小标宋简体"/>
          <w:sz w:val="44"/>
          <w:szCs w:val="44"/>
        </w:rPr>
        <w:t>济南市</w:t>
      </w:r>
      <w:r>
        <w:rPr>
          <w:rFonts w:ascii="方正小标宋简体" w:hAnsi="方正粗黑宋简体" w:eastAsia="方正小标宋简体"/>
          <w:sz w:val="44"/>
          <w:szCs w:val="44"/>
        </w:rPr>
        <w:t>行政审批服务局</w:t>
      </w:r>
    </w:p>
    <w:p>
      <w:pPr>
        <w:spacing w:line="570" w:lineRule="exact"/>
        <w:jc w:val="center"/>
        <w:rPr>
          <w:rFonts w:hint="eastAsia" w:ascii="方正小标宋简体" w:hAnsi="方正粗黑宋简体" w:eastAsia="方正小标宋简体"/>
          <w:sz w:val="44"/>
          <w:szCs w:val="44"/>
        </w:rPr>
      </w:pPr>
      <w:r>
        <w:rPr>
          <w:rFonts w:hint="eastAsia" w:ascii="方正小标宋简体" w:hAnsi="方正粗黑宋简体" w:eastAsia="方正小标宋简体"/>
          <w:sz w:val="44"/>
          <w:szCs w:val="44"/>
        </w:rPr>
        <w:t>202</w:t>
      </w:r>
      <w:r>
        <w:rPr>
          <w:rFonts w:hint="eastAsia" w:ascii="方正小标宋简体" w:hAnsi="方正粗黑宋简体" w:eastAsia="方正小标宋简体"/>
          <w:sz w:val="44"/>
          <w:szCs w:val="44"/>
          <w:lang w:val="en-US" w:eastAsia="zh-CN"/>
        </w:rPr>
        <w:t>3</w:t>
      </w:r>
      <w:r>
        <w:rPr>
          <w:rFonts w:hint="eastAsia" w:ascii="方正小标宋简体" w:hAnsi="方正粗黑宋简体" w:eastAsia="方正小标宋简体"/>
          <w:sz w:val="44"/>
          <w:szCs w:val="44"/>
        </w:rPr>
        <w:t>年</w:t>
      </w:r>
      <w:r>
        <w:rPr>
          <w:rFonts w:ascii="方正小标宋简体" w:hAnsi="方正粗黑宋简体" w:eastAsia="方正小标宋简体"/>
          <w:sz w:val="44"/>
          <w:szCs w:val="44"/>
        </w:rPr>
        <w:t>政府信息公开</w:t>
      </w:r>
      <w:r>
        <w:rPr>
          <w:rFonts w:hint="eastAsia" w:ascii="方正小标宋简体" w:hAnsi="方正粗黑宋简体" w:eastAsia="方正小标宋简体"/>
          <w:sz w:val="44"/>
          <w:szCs w:val="44"/>
        </w:rPr>
        <w:t>工作</w:t>
      </w:r>
      <w:r>
        <w:rPr>
          <w:rFonts w:ascii="方正小标宋简体" w:hAnsi="方正粗黑宋简体" w:eastAsia="方正小标宋简体"/>
          <w:sz w:val="44"/>
          <w:szCs w:val="44"/>
        </w:rPr>
        <w:t>年度报告</w:t>
      </w:r>
    </w:p>
    <w:p>
      <w:pPr>
        <w:spacing w:line="570" w:lineRule="exact"/>
        <w:ind w:firstLine="480" w:firstLineChars="150"/>
        <w:rPr>
          <w:rFonts w:ascii="仿宋" w:hAnsi="仿宋" w:eastAsia="仿宋"/>
          <w:sz w:val="32"/>
          <w:szCs w:val="32"/>
        </w:rPr>
      </w:pPr>
    </w:p>
    <w:p>
      <w:pPr>
        <w:spacing w:line="570" w:lineRule="exact"/>
        <w:ind w:firstLine="480" w:firstLineChars="1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年，济南市行政审批服务局坚持以习近平新时代中国特色社会主义思想为指导，</w:t>
      </w:r>
      <w:r>
        <w:rPr>
          <w:rFonts w:hint="eastAsia" w:ascii="仿宋_GB2312" w:hAnsi="仿宋_GB2312" w:eastAsia="仿宋_GB2312" w:cs="仿宋_GB2312"/>
          <w:sz w:val="32"/>
          <w:szCs w:val="32"/>
          <w:lang w:val="en-US" w:eastAsia="zh-CN"/>
        </w:rPr>
        <w:t>全面贯彻落实党的二十大精神，牢固树立以人民为中心的发展思想，完整、准确、全面贯彻新发展理念，认真落实国家和省、市关于做好政务公开工作的系列决策部署，持续深化主动公开，积极回应群众关切，扎实做好政策解读，推进政务公开工作提质增效，更好发挥政务公开在提高审批服务效能、增强群众获得感满意度等方面的作用，为推进营商环境优化提升、助力经济社会高质量发展提供坚实支撑。</w:t>
      </w:r>
    </w:p>
    <w:p>
      <w:pPr>
        <w:spacing w:line="570" w:lineRule="exact"/>
        <w:ind w:firstLine="640" w:firstLineChars="200"/>
        <w:rPr>
          <w:rFonts w:ascii="黑体" w:hAnsi="黑体" w:eastAsia="黑体" w:cs="仿宋"/>
          <w:sz w:val="32"/>
          <w:szCs w:val="32"/>
        </w:rPr>
      </w:pPr>
      <w:r>
        <w:rPr>
          <w:rFonts w:hint="eastAsia" w:ascii="黑体" w:hAnsi="黑体" w:eastAsia="黑体" w:cs="仿宋"/>
          <w:sz w:val="32"/>
          <w:szCs w:val="32"/>
        </w:rPr>
        <w:t>一</w:t>
      </w:r>
      <w:r>
        <w:rPr>
          <w:rFonts w:ascii="黑体" w:hAnsi="黑体" w:eastAsia="黑体" w:cs="仿宋"/>
          <w:sz w:val="32"/>
          <w:szCs w:val="32"/>
        </w:rPr>
        <w:t>、</w:t>
      </w:r>
      <w:r>
        <w:rPr>
          <w:rFonts w:hint="eastAsia" w:ascii="黑体" w:hAnsi="黑体" w:eastAsia="黑体" w:cs="仿宋"/>
          <w:sz w:val="32"/>
          <w:szCs w:val="32"/>
        </w:rPr>
        <w:t>总体情况</w:t>
      </w:r>
    </w:p>
    <w:p>
      <w:pPr>
        <w:spacing w:line="570" w:lineRule="exact"/>
        <w:ind w:firstLine="640" w:firstLineChars="200"/>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rPr>
        <w:t>（一）主动公开</w:t>
      </w:r>
      <w:r>
        <w:rPr>
          <w:rFonts w:hint="eastAsia" w:ascii="楷体_GB2312" w:hAnsi="楷体_GB2312" w:eastAsia="楷体_GB2312" w:cs="楷体_GB2312"/>
          <w:color w:val="000000"/>
          <w:sz w:val="32"/>
          <w:szCs w:val="32"/>
          <w:lang w:val="en-US" w:eastAsia="zh-CN"/>
        </w:rPr>
        <w:t>情况</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lang w:eastAsia="zh-CN"/>
        </w:rPr>
        <w:t>依托</w:t>
      </w:r>
      <w:r>
        <w:rPr>
          <w:rFonts w:hint="eastAsia" w:ascii="仿宋_GB2312" w:hAnsi="仿宋_GB2312" w:eastAsia="仿宋_GB2312" w:cs="仿宋_GB2312"/>
          <w:color w:val="000000"/>
          <w:sz w:val="32"/>
          <w:szCs w:val="32"/>
          <w:lang w:val="en-US" w:eastAsia="zh-CN"/>
        </w:rPr>
        <w:t>政府</w:t>
      </w:r>
      <w:r>
        <w:rPr>
          <w:rFonts w:hint="eastAsia" w:ascii="仿宋_GB2312" w:hAnsi="仿宋_GB2312" w:eastAsia="仿宋_GB2312" w:cs="仿宋_GB2312"/>
          <w:color w:val="000000"/>
          <w:sz w:val="32"/>
          <w:szCs w:val="32"/>
          <w:lang w:eastAsia="zh-CN"/>
        </w:rPr>
        <w:t>网站和</w:t>
      </w:r>
      <w:r>
        <w:rPr>
          <w:rFonts w:hint="eastAsia" w:ascii="仿宋_GB2312" w:hAnsi="仿宋_GB2312" w:eastAsia="仿宋_GB2312" w:cs="仿宋_GB2312"/>
          <w:color w:val="000000"/>
          <w:sz w:val="32"/>
          <w:szCs w:val="32"/>
          <w:lang w:val="en-US" w:eastAsia="zh-CN"/>
        </w:rPr>
        <w:t>政务</w:t>
      </w:r>
      <w:r>
        <w:rPr>
          <w:rFonts w:hint="eastAsia" w:ascii="仿宋_GB2312" w:hAnsi="仿宋_GB2312" w:eastAsia="仿宋_GB2312" w:cs="仿宋_GB2312"/>
          <w:color w:val="000000"/>
          <w:sz w:val="32"/>
          <w:szCs w:val="32"/>
          <w:lang w:eastAsia="zh-CN"/>
        </w:rPr>
        <w:t>新媒体平台，准确规范公开机构职能、权责清单等法定基础信息，</w:t>
      </w:r>
      <w:r>
        <w:rPr>
          <w:rFonts w:hint="eastAsia" w:ascii="仿宋_GB2312" w:hAnsi="仿宋_GB2312" w:eastAsia="仿宋_GB2312" w:cs="仿宋_GB2312"/>
          <w:color w:val="000000"/>
          <w:sz w:val="32"/>
          <w:szCs w:val="32"/>
          <w:lang w:val="en-US" w:eastAsia="zh-CN"/>
        </w:rPr>
        <w:t>优化调整</w:t>
      </w:r>
      <w:r>
        <w:rPr>
          <w:rFonts w:hint="eastAsia" w:ascii="仿宋_GB2312" w:hAnsi="仿宋_GB2312" w:eastAsia="仿宋_GB2312" w:cs="仿宋_GB2312"/>
          <w:color w:val="000000"/>
          <w:sz w:val="32"/>
          <w:szCs w:val="32"/>
          <w:lang w:eastAsia="zh-CN"/>
        </w:rPr>
        <w:t>网站栏目，及时更新工作动态、会议解读、建议提案等信息，</w:t>
      </w:r>
      <w:r>
        <w:rPr>
          <w:rFonts w:hint="eastAsia" w:ascii="仿宋_GB2312" w:hAnsi="仿宋_GB2312" w:eastAsia="仿宋_GB2312" w:cs="仿宋_GB2312"/>
          <w:color w:val="000000"/>
          <w:sz w:val="32"/>
          <w:szCs w:val="32"/>
          <w:lang w:val="en-US" w:eastAsia="zh-CN"/>
        </w:rPr>
        <w:t>畅通政务公开渠道。围绕市委、市政府重点任务，聚焦企业群众办事过程中的痛点、难点、堵点问题，先后出台《济南市行政审批服务局助力“项目突破年”建设若干措施》《济南市行政审批服务局“一件事一次办”优化升级措施》等政策文件，通过图解、新闻发布会等形式，扎实做好政策解读，切实保障企业群众的知情权、参与权和监督权。</w:t>
      </w:r>
    </w:p>
    <w:p>
      <w:pPr>
        <w:numPr>
          <w:ilvl w:val="0"/>
          <w:numId w:val="0"/>
        </w:numPr>
        <w:spacing w:line="570" w:lineRule="exact"/>
        <w:ind w:firstLine="640" w:firstLineChars="200"/>
        <w:rPr>
          <w:rFonts w:hint="eastAsia" w:ascii="仿宋_GB2312" w:hAnsi="仿宋" w:eastAsia="仿宋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依申请公开</w:t>
      </w:r>
      <w:r>
        <w:rPr>
          <w:rFonts w:hint="eastAsia" w:ascii="楷体_GB2312" w:hAnsi="楷体_GB2312" w:eastAsia="楷体_GB2312" w:cs="楷体_GB2312"/>
          <w:color w:val="000000"/>
          <w:sz w:val="32"/>
          <w:szCs w:val="32"/>
          <w:lang w:val="en-US" w:eastAsia="zh-CN"/>
        </w:rPr>
        <w:t>情况</w:t>
      </w:r>
      <w:r>
        <w:rPr>
          <w:rFonts w:hint="eastAsia" w:ascii="楷体_GB2312" w:hAnsi="楷体_GB2312" w:eastAsia="楷体_GB2312" w:cs="楷体_GB2312"/>
          <w:color w:val="000000"/>
          <w:sz w:val="32"/>
          <w:szCs w:val="32"/>
        </w:rPr>
        <w:t>。</w:t>
      </w:r>
      <w:r>
        <w:rPr>
          <w:rFonts w:hint="eastAsia" w:ascii="仿宋_GB2312" w:hAnsi="仿宋" w:eastAsia="仿宋_GB2312"/>
          <w:color w:val="000000"/>
          <w:sz w:val="32"/>
          <w:szCs w:val="32"/>
        </w:rPr>
        <w:t>进一步健全完善政府信息公开制度，明确公开主体、内容、标准、方式、程序，</w:t>
      </w:r>
      <w:r>
        <w:rPr>
          <w:rFonts w:hint="eastAsia" w:ascii="仿宋_GB2312" w:hAnsi="仿宋" w:eastAsia="仿宋_GB2312"/>
          <w:color w:val="000000"/>
          <w:sz w:val="32"/>
          <w:szCs w:val="32"/>
          <w:lang w:val="en-US" w:eastAsia="zh-CN"/>
        </w:rPr>
        <w:t>建立政务公开联络员队伍，加强教育培训，不断提升依申请公开办理质量。坚持“以公开为常态、不公开为例外”，拓宽公开渠道，深化研判分析，完善答复意见“三审三校”机制，依法依规做好政府信息公开申请的高效答复。聚焦工程建设项目审批制度改革、“一件事一次办”等领域，积极主动回应群众关切，畅通沟通路径，用心用情帮助企业群众排忧解难。</w:t>
      </w:r>
    </w:p>
    <w:p>
      <w:pPr>
        <w:spacing w:line="240" w:lineRule="auto"/>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drawing>
          <wp:inline distT="0" distB="0" distL="114300" distR="114300">
            <wp:extent cx="4581525" cy="2752725"/>
            <wp:effectExtent l="0" t="0" r="9525" b="9525"/>
            <wp:docPr id="1" name="图片 1" descr="170649897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6498972544"/>
                    <pic:cNvPicPr>
                      <a:picLocks noChangeAspect="1"/>
                    </pic:cNvPicPr>
                  </pic:nvPicPr>
                  <pic:blipFill>
                    <a:blip r:embed="rId5"/>
                    <a:stretch>
                      <a:fillRect/>
                    </a:stretch>
                  </pic:blipFill>
                  <pic:spPr>
                    <a:xfrm>
                      <a:off x="0" y="0"/>
                      <a:ext cx="4581525" cy="2752725"/>
                    </a:xfrm>
                    <a:prstGeom prst="rect">
                      <a:avLst/>
                    </a:prstGeom>
                  </pic:spPr>
                </pic:pic>
              </a:graphicData>
            </a:graphic>
          </wp:inline>
        </w:drawing>
      </w:r>
    </w:p>
    <w:p>
      <w:pPr>
        <w:numPr>
          <w:ilvl w:val="0"/>
          <w:numId w:val="0"/>
        </w:numPr>
        <w:spacing w:line="57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（三）政府信息管理情况</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lang w:val="en-US" w:eastAsia="zh-CN"/>
        </w:rPr>
        <w:t>完善政府信息管理机制，明确政府信息公开属性，抓实政府信息公开保密审查，落实</w:t>
      </w:r>
      <w:r>
        <w:rPr>
          <w:rFonts w:hint="eastAsia" w:ascii="仿宋_GB2312" w:hAnsi="仿宋_GB2312" w:eastAsia="仿宋_GB2312" w:cs="仿宋_GB2312"/>
          <w:color w:val="000000"/>
          <w:sz w:val="32"/>
          <w:szCs w:val="32"/>
        </w:rPr>
        <w:t>解读材料与政策性文件同步起草、同步审签、联动公开，</w:t>
      </w:r>
      <w:r>
        <w:rPr>
          <w:rFonts w:hint="eastAsia" w:ascii="仿宋_GB2312" w:hAnsi="仿宋_GB2312" w:eastAsia="仿宋_GB2312" w:cs="仿宋_GB2312"/>
          <w:color w:val="000000"/>
          <w:sz w:val="32"/>
          <w:szCs w:val="32"/>
          <w:lang w:val="en-US" w:eastAsia="zh-CN"/>
        </w:rPr>
        <w:t>确保公开信息全面、准确、有效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用足用好政务公开系统平台，明确公开标准，加强内容审核，统一操作规范，聚力提高政府信息管理规范化、数字化、标准化水平。</w:t>
      </w:r>
    </w:p>
    <w:p>
      <w:pPr>
        <w:spacing w:line="240" w:lineRule="auto"/>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drawing>
          <wp:inline distT="0" distB="0" distL="114300" distR="114300">
            <wp:extent cx="5273040" cy="2049780"/>
            <wp:effectExtent l="0" t="0" r="3810" b="7620"/>
            <wp:docPr id="2" name="图片 2" descr="170649899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6498991777"/>
                    <pic:cNvPicPr>
                      <a:picLocks noChangeAspect="1"/>
                    </pic:cNvPicPr>
                  </pic:nvPicPr>
                  <pic:blipFill>
                    <a:blip r:embed="rId6"/>
                    <a:stretch>
                      <a:fillRect/>
                    </a:stretch>
                  </pic:blipFill>
                  <pic:spPr>
                    <a:xfrm>
                      <a:off x="0" y="0"/>
                      <a:ext cx="5273040" cy="2049780"/>
                    </a:xfrm>
                    <a:prstGeom prst="rect">
                      <a:avLst/>
                    </a:prstGeom>
                  </pic:spPr>
                </pic:pic>
              </a:graphicData>
            </a:graphic>
          </wp:inline>
        </w:drawing>
      </w:r>
    </w:p>
    <w:p>
      <w:pPr>
        <w:spacing w:line="570" w:lineRule="exact"/>
        <w:ind w:firstLine="640" w:firstLineChars="200"/>
        <w:rPr>
          <w:rFonts w:hint="eastAsia" w:ascii="仿宋_GB2312" w:eastAsia="仿宋_GB2312"/>
          <w:sz w:val="32"/>
          <w:lang w:val="en-US" w:eastAsia="zh-CN"/>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val="en-US" w:eastAsia="zh-CN"/>
        </w:rPr>
        <w:t>平台建设情况</w:t>
      </w:r>
      <w:r>
        <w:rPr>
          <w:rFonts w:hint="eastAsia" w:ascii="楷体_GB2312" w:hAnsi="楷体_GB2312" w:eastAsia="楷体_GB2312" w:cs="楷体_GB2312"/>
          <w:color w:val="000000"/>
          <w:sz w:val="32"/>
          <w:szCs w:val="32"/>
        </w:rPr>
        <w:t>。</w:t>
      </w:r>
      <w:r>
        <w:rPr>
          <w:rFonts w:hint="eastAsia" w:ascii="仿宋_GB2312" w:eastAsia="仿宋_GB2312"/>
          <w:sz w:val="32"/>
          <w:lang w:val="en-US" w:eastAsia="zh-CN"/>
        </w:rPr>
        <w:t>持续推进</w:t>
      </w:r>
      <w:r>
        <w:rPr>
          <w:rFonts w:hint="eastAsia" w:ascii="仿宋_GB2312" w:eastAsia="仿宋_GB2312"/>
          <w:sz w:val="32"/>
          <w:lang w:eastAsia="zh-CN"/>
        </w:rPr>
        <w:t>“泉惠企”平台</w:t>
      </w:r>
      <w:r>
        <w:rPr>
          <w:rFonts w:hint="eastAsia" w:ascii="仿宋_GB2312" w:eastAsia="仿宋_GB2312"/>
          <w:sz w:val="32"/>
          <w:lang w:val="en-US" w:eastAsia="zh-CN"/>
        </w:rPr>
        <w:t>建设</w:t>
      </w:r>
      <w:r>
        <w:rPr>
          <w:rFonts w:hint="eastAsia" w:ascii="仿宋_GB2312" w:eastAsia="仿宋_GB2312"/>
          <w:sz w:val="32"/>
          <w:lang w:eastAsia="zh-CN"/>
        </w:rPr>
        <w:t>，有针对性地开展</w:t>
      </w:r>
      <w:r>
        <w:rPr>
          <w:rFonts w:hint="eastAsia" w:ascii="仿宋_GB2312" w:eastAsia="仿宋_GB2312"/>
          <w:sz w:val="32"/>
          <w:lang w:val="en-US" w:eastAsia="zh-CN"/>
        </w:rPr>
        <w:t>惠企政策</w:t>
      </w:r>
      <w:r>
        <w:rPr>
          <w:rFonts w:hint="eastAsia" w:ascii="仿宋_GB2312" w:eastAsia="仿宋_GB2312"/>
          <w:sz w:val="32"/>
          <w:lang w:eastAsia="zh-CN"/>
        </w:rPr>
        <w:t>深度解读、延伸解读，方便企业群众第一时间了解政策要点，助力</w:t>
      </w:r>
      <w:r>
        <w:rPr>
          <w:rFonts w:hint="eastAsia" w:ascii="仿宋_GB2312" w:eastAsia="仿宋_GB2312"/>
          <w:sz w:val="32"/>
          <w:lang w:val="en-US" w:eastAsia="zh-CN"/>
        </w:rPr>
        <w:t>经营</w:t>
      </w:r>
      <w:r>
        <w:rPr>
          <w:rFonts w:hint="eastAsia" w:ascii="仿宋_GB2312" w:eastAsia="仿宋_GB2312"/>
          <w:sz w:val="32"/>
          <w:lang w:eastAsia="zh-CN"/>
        </w:rPr>
        <w:t>主体健康发展。注重发挥传统媒体与新媒体的互补优势，打造</w:t>
      </w:r>
      <w:r>
        <w:rPr>
          <w:rFonts w:hint="eastAsia" w:ascii="仿宋_GB2312" w:eastAsia="仿宋_GB2312"/>
          <w:sz w:val="32"/>
          <w:lang w:val="en-US" w:eastAsia="zh-CN"/>
        </w:rPr>
        <w:t>由</w:t>
      </w:r>
      <w:r>
        <w:rPr>
          <w:rFonts w:hint="eastAsia" w:ascii="仿宋_GB2312" w:eastAsia="仿宋_GB2312"/>
          <w:sz w:val="32"/>
          <w:lang w:eastAsia="zh-CN"/>
        </w:rPr>
        <w:t>微信公众号、微信视频号、抖音号组成的政务新媒体矩阵，及时发布事项办理服务指南、改革创新亮点举措等内容，</w:t>
      </w:r>
      <w:r>
        <w:rPr>
          <w:rFonts w:hint="eastAsia" w:ascii="仿宋_GB2312" w:eastAsia="仿宋_GB2312"/>
          <w:sz w:val="32"/>
          <w:lang w:val="en-US" w:eastAsia="zh-CN"/>
        </w:rPr>
        <w:t>提高便民利企服务水平</w:t>
      </w:r>
      <w:r>
        <w:rPr>
          <w:rFonts w:hint="eastAsia" w:ascii="仿宋_GB2312" w:eastAsia="仿宋_GB2312"/>
          <w:sz w:val="32"/>
          <w:lang w:eastAsia="zh-CN"/>
        </w:rPr>
        <w:t>。</w:t>
      </w:r>
      <w:r>
        <w:rPr>
          <w:rFonts w:hint="eastAsia" w:ascii="仿宋_GB2312" w:eastAsia="仿宋_GB2312"/>
          <w:sz w:val="32"/>
          <w:lang w:val="en-US" w:eastAsia="zh-CN"/>
        </w:rPr>
        <w:t>推进政务公开专区改造升级，完善设备标识，充实政策文件，提高服务水平，不断提升企业群众满意度和获得感。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color w:val="000000"/>
          <w:sz w:val="32"/>
          <w:szCs w:val="32"/>
          <w:lang w:eastAsia="zh-CN"/>
        </w:rPr>
      </w:pPr>
      <w:bookmarkStart w:id="0" w:name="_GoBack"/>
      <w:r>
        <w:rPr>
          <w:rFonts w:hint="eastAsia" w:ascii="楷体_GB2312" w:hAnsi="楷体_GB2312" w:eastAsia="楷体_GB2312" w:cs="楷体_GB2312"/>
          <w:color w:val="000000"/>
          <w:sz w:val="32"/>
          <w:szCs w:val="32"/>
          <w:lang w:eastAsia="zh-CN"/>
        </w:rPr>
        <w:drawing>
          <wp:inline distT="0" distB="0" distL="114300" distR="114300">
            <wp:extent cx="4933950" cy="2771775"/>
            <wp:effectExtent l="0" t="0" r="0" b="9525"/>
            <wp:docPr id="3" name="图片 3" descr="170649901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6499010512"/>
                    <pic:cNvPicPr>
                      <a:picLocks noChangeAspect="1"/>
                    </pic:cNvPicPr>
                  </pic:nvPicPr>
                  <pic:blipFill>
                    <a:blip r:embed="rId7"/>
                    <a:stretch>
                      <a:fillRect/>
                    </a:stretch>
                  </pic:blipFill>
                  <pic:spPr>
                    <a:xfrm>
                      <a:off x="0" y="0"/>
                      <a:ext cx="4933950" cy="2771775"/>
                    </a:xfrm>
                    <a:prstGeom prst="rect">
                      <a:avLst/>
                    </a:prstGeom>
                  </pic:spPr>
                </pic:pic>
              </a:graphicData>
            </a:graphic>
          </wp:inline>
        </w:drawing>
      </w:r>
      <w:bookmarkEnd w:id="0"/>
    </w:p>
    <w:p>
      <w:pPr>
        <w:numPr>
          <w:ilvl w:val="0"/>
          <w:numId w:val="0"/>
        </w:numPr>
        <w:spacing w:line="57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（五）监督保障情况</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rPr>
        <w:t>强化组织领导，夯实工作责任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健全政务公开监督保障机制，常态化开展政府信息公开检查问效和整改提升，及时做好问题整改“回头看”。积极</w:t>
      </w:r>
      <w:r>
        <w:rPr>
          <w:rFonts w:hint="eastAsia" w:ascii="仿宋_GB2312" w:hAnsi="仿宋_GB2312" w:eastAsia="仿宋_GB2312" w:cs="仿宋_GB2312"/>
          <w:color w:val="000000"/>
          <w:sz w:val="32"/>
          <w:szCs w:val="32"/>
        </w:rPr>
        <w:t>开展政府开放活动，现场解答企业群众疑难问题，听取意见建议，提升服务效能。加强业务培训力度，重点针对依申请公开办理、网站运行等做好培训指导，增强培训科学性、实效性，提</w:t>
      </w:r>
      <w:r>
        <w:rPr>
          <w:rFonts w:hint="eastAsia" w:ascii="仿宋_GB2312" w:hAnsi="仿宋_GB2312" w:eastAsia="仿宋_GB2312" w:cs="仿宋_GB2312"/>
          <w:color w:val="000000"/>
          <w:sz w:val="32"/>
          <w:szCs w:val="32"/>
          <w:lang w:val="en-US" w:eastAsia="zh-CN"/>
        </w:rPr>
        <w:t>高</w:t>
      </w:r>
      <w:r>
        <w:rPr>
          <w:rFonts w:hint="eastAsia" w:ascii="仿宋_GB2312" w:hAnsi="仿宋_GB2312" w:eastAsia="仿宋_GB2312" w:cs="仿宋_GB2312"/>
          <w:color w:val="000000"/>
          <w:sz w:val="32"/>
          <w:szCs w:val="32"/>
        </w:rPr>
        <w:t>培训效果。</w:t>
      </w:r>
    </w:p>
    <w:p>
      <w:pPr>
        <w:pStyle w:val="24"/>
        <w:widowControl/>
        <w:shd w:val="clear" w:color="auto" w:fill="FFFFFF"/>
        <w:spacing w:after="100" w:afterAutospacing="1" w:line="390" w:lineRule="atLeast"/>
        <w:ind w:left="885" w:firstLine="0" w:firstLineChars="0"/>
        <w:jc w:val="left"/>
        <w:rPr>
          <w:rFonts w:hint="eastAsia" w:ascii="黑体" w:hAnsi="黑体" w:eastAsia="黑体" w:cs="宋体"/>
          <w:color w:val="333333"/>
          <w:kern w:val="0"/>
          <w:sz w:val="32"/>
          <w:szCs w:val="32"/>
        </w:rPr>
      </w:pPr>
      <w:r>
        <w:rPr>
          <w:rFonts w:hint="eastAsia" w:ascii="黑体" w:hAnsi="黑体" w:eastAsia="黑体" w:cs="仿宋"/>
          <w:szCs w:val="32"/>
        </w:rPr>
        <w:t>二、</w:t>
      </w:r>
      <w:r>
        <w:rPr>
          <w:rFonts w:hint="eastAsia" w:ascii="黑体" w:hAnsi="黑体" w:eastAsia="黑体" w:cs="宋体"/>
          <w:color w:val="333333"/>
          <w:kern w:val="0"/>
          <w:szCs w:val="32"/>
        </w:rPr>
        <w:t>主动公开政府信息情况</w:t>
      </w:r>
    </w:p>
    <w:tbl>
      <w:tblPr>
        <w:tblStyle w:val="9"/>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60679</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widowControl/>
        <w:shd w:val="clear" w:color="auto" w:fill="FFFFFF"/>
        <w:spacing w:after="100" w:afterAutospacing="1" w:line="390" w:lineRule="atLeast"/>
        <w:jc w:val="left"/>
        <w:rPr>
          <w:rFonts w:hint="eastAsia" w:ascii="黑体" w:hAnsi="黑体" w:eastAsia="黑体" w:cs="宋体"/>
          <w:color w:val="333333"/>
          <w:kern w:val="0"/>
          <w:sz w:val="32"/>
          <w:szCs w:val="32"/>
        </w:rPr>
      </w:pPr>
    </w:p>
    <w:p>
      <w:pPr>
        <w:widowControl/>
        <w:shd w:val="clear" w:color="auto" w:fill="FFFFFF"/>
        <w:spacing w:after="100" w:afterAutospacing="1" w:line="390" w:lineRule="atLeast"/>
        <w:ind w:firstLine="640" w:firstLineChars="200"/>
        <w:jc w:val="left"/>
        <w:rPr>
          <w:rFonts w:hint="eastAsia" w:ascii="黑体" w:hAnsi="黑体" w:eastAsia="黑体" w:cs="仿宋"/>
          <w:sz w:val="32"/>
          <w:szCs w:val="32"/>
        </w:rPr>
      </w:pPr>
      <w:r>
        <w:rPr>
          <w:rFonts w:hint="eastAsia" w:ascii="黑体" w:hAnsi="黑体" w:eastAsia="黑体" w:cs="宋体"/>
          <w:color w:val="333333"/>
          <w:kern w:val="0"/>
          <w:sz w:val="32"/>
          <w:szCs w:val="32"/>
        </w:rPr>
        <w:t>三、收到和处理政府信息公开申请情况</w:t>
      </w:r>
    </w:p>
    <w:tbl>
      <w:tblPr>
        <w:tblStyle w:val="9"/>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950"/>
        <w:gridCol w:w="3203"/>
        <w:gridCol w:w="692"/>
        <w:gridCol w:w="688"/>
        <w:gridCol w:w="688"/>
        <w:gridCol w:w="688"/>
        <w:gridCol w:w="688"/>
        <w:gridCol w:w="68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4" w:type="dxa"/>
            <w:gridSpan w:val="3"/>
            <w:vMerge w:val="restart"/>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4"/>
                <w:szCs w:val="24"/>
              </w:rPr>
              <w:t>（本列数据的勾稽关系为：第一项加第二项之和，等于第三项加第四项之和）</w:t>
            </w:r>
          </w:p>
        </w:tc>
        <w:tc>
          <w:tcPr>
            <w:tcW w:w="4824" w:type="dxa"/>
            <w:gridSpan w:val="7"/>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4" w:type="dxa"/>
            <w:gridSpan w:val="3"/>
            <w:vMerge w:val="continue"/>
            <w:vAlign w:val="center"/>
          </w:tcPr>
          <w:p>
            <w:pPr>
              <w:widowControl/>
              <w:jc w:val="left"/>
              <w:rPr>
                <w:rFonts w:ascii="宋体" w:hAnsi="宋体" w:eastAsia="宋体" w:cs="宋体"/>
                <w:kern w:val="0"/>
                <w:sz w:val="24"/>
                <w:szCs w:val="24"/>
              </w:rPr>
            </w:pPr>
          </w:p>
        </w:tc>
        <w:tc>
          <w:tcPr>
            <w:tcW w:w="692" w:type="dxa"/>
            <w:vMerge w:val="restart"/>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自然人</w:t>
            </w:r>
          </w:p>
        </w:tc>
        <w:tc>
          <w:tcPr>
            <w:tcW w:w="3440" w:type="dxa"/>
            <w:gridSpan w:val="5"/>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法人或其他组织</w:t>
            </w:r>
          </w:p>
        </w:tc>
        <w:tc>
          <w:tcPr>
            <w:tcW w:w="692" w:type="dxa"/>
            <w:vMerge w:val="restart"/>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4" w:type="dxa"/>
            <w:gridSpan w:val="3"/>
            <w:vMerge w:val="continue"/>
            <w:vAlign w:val="center"/>
          </w:tcPr>
          <w:p>
            <w:pPr>
              <w:widowControl/>
              <w:jc w:val="left"/>
              <w:rPr>
                <w:rFonts w:ascii="宋体" w:hAnsi="宋体" w:eastAsia="宋体" w:cs="宋体"/>
                <w:kern w:val="0"/>
                <w:sz w:val="24"/>
                <w:szCs w:val="24"/>
              </w:rPr>
            </w:pPr>
          </w:p>
        </w:tc>
        <w:tc>
          <w:tcPr>
            <w:tcW w:w="692" w:type="dxa"/>
            <w:vMerge w:val="continue"/>
            <w:vAlign w:val="center"/>
          </w:tcPr>
          <w:p>
            <w:pPr>
              <w:widowControl/>
              <w:jc w:val="left"/>
              <w:rPr>
                <w:rFonts w:ascii="宋体" w:hAnsi="宋体" w:eastAsia="宋体" w:cs="宋体"/>
                <w:kern w:val="0"/>
                <w:sz w:val="24"/>
                <w:szCs w:val="24"/>
              </w:rPr>
            </w:pP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商业</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企业</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科研</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机构</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社会公益组织</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法律服务机构</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69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4" w:type="dxa"/>
            <w:gridSpan w:val="3"/>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114</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11</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4" w:type="dxa"/>
            <w:gridSpan w:val="3"/>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restart"/>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三、本年度办理结果</w:t>
            </w:r>
          </w:p>
        </w:tc>
        <w:tc>
          <w:tcPr>
            <w:tcW w:w="4153" w:type="dxa"/>
            <w:gridSpan w:val="2"/>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（一）予以公开</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57</w:t>
            </w:r>
          </w:p>
        </w:tc>
        <w:tc>
          <w:tcPr>
            <w:tcW w:w="688"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5</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4153" w:type="dxa"/>
            <w:gridSpan w:val="2"/>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（二）部分公开</w:t>
            </w:r>
            <w:r>
              <w:rPr>
                <w:rFonts w:hint="eastAsia" w:ascii="楷体" w:hAnsi="楷体" w:eastAsia="楷体" w:cs="宋体"/>
                <w:kern w:val="0"/>
                <w:sz w:val="24"/>
                <w:szCs w:val="24"/>
              </w:rPr>
              <w:t>（区分处理的，只计这一情形，不计其他情形）</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21</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2</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restart"/>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（三）不予公开</w:t>
            </w: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1.属于国家秘密</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1</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restart"/>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（四）无法提供</w:t>
            </w: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35</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4</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restart"/>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（五）不予处理</w:t>
            </w: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2.重复申请</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restart"/>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（六）其他处理</w:t>
            </w:r>
          </w:p>
        </w:tc>
        <w:tc>
          <w:tcPr>
            <w:tcW w:w="3203" w:type="dxa"/>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950" w:type="dxa"/>
            <w:vMerge w:val="continue"/>
            <w:vAlign w:val="center"/>
          </w:tcPr>
          <w:p>
            <w:pPr>
              <w:widowControl/>
              <w:jc w:val="left"/>
              <w:rPr>
                <w:rFonts w:ascii="宋体" w:hAnsi="宋体" w:eastAsia="宋体" w:cs="宋体"/>
                <w:kern w:val="0"/>
                <w:sz w:val="24"/>
                <w:szCs w:val="24"/>
              </w:rPr>
            </w:pPr>
          </w:p>
        </w:tc>
        <w:tc>
          <w:tcPr>
            <w:tcW w:w="3203" w:type="dxa"/>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3.其他</w:t>
            </w:r>
          </w:p>
        </w:tc>
        <w:tc>
          <w:tcPr>
            <w:tcW w:w="692"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vAlign w:val="center"/>
          </w:tcPr>
          <w:p>
            <w:pPr>
              <w:widowControl/>
              <w:jc w:val="left"/>
              <w:rPr>
                <w:rFonts w:ascii="宋体" w:hAnsi="宋体" w:eastAsia="宋体" w:cs="宋体"/>
                <w:kern w:val="0"/>
                <w:sz w:val="24"/>
                <w:szCs w:val="24"/>
              </w:rPr>
            </w:pPr>
          </w:p>
        </w:tc>
        <w:tc>
          <w:tcPr>
            <w:tcW w:w="4153" w:type="dxa"/>
            <w:gridSpan w:val="2"/>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（七）总计</w:t>
            </w:r>
          </w:p>
        </w:tc>
        <w:tc>
          <w:tcPr>
            <w:tcW w:w="692" w:type="dxa"/>
            <w:tcMar>
              <w:top w:w="0" w:type="dxa"/>
              <w:left w:w="57" w:type="dxa"/>
              <w:bottom w:w="0" w:type="dxa"/>
              <w:right w:w="57" w:type="dxa"/>
            </w:tcMar>
            <w:vAlign w:val="center"/>
          </w:tcPr>
          <w:p>
            <w:pPr>
              <w:widowControl/>
              <w:jc w:val="center"/>
              <w:rPr>
                <w:rFonts w:hint="default"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114</w:t>
            </w:r>
          </w:p>
        </w:tc>
        <w:tc>
          <w:tcPr>
            <w:tcW w:w="688" w:type="dxa"/>
            <w:tcMar>
              <w:top w:w="0" w:type="dxa"/>
              <w:left w:w="57" w:type="dxa"/>
              <w:bottom w:w="0" w:type="dxa"/>
              <w:right w:w="57" w:type="dxa"/>
            </w:tcMar>
            <w:vAlign w:val="center"/>
          </w:tcPr>
          <w:p>
            <w:pPr>
              <w:widowControl/>
              <w:jc w:val="center"/>
              <w:rPr>
                <w:rFonts w:hint="default"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11</w:t>
            </w:r>
          </w:p>
        </w:tc>
        <w:tc>
          <w:tcPr>
            <w:tcW w:w="688" w:type="dxa"/>
            <w:tcMar>
              <w:top w:w="0" w:type="dxa"/>
              <w:left w:w="57" w:type="dxa"/>
              <w:bottom w:w="0" w:type="dxa"/>
              <w:right w:w="57" w:type="dxa"/>
            </w:tcMar>
            <w:vAlign w:val="center"/>
          </w:tcPr>
          <w:p>
            <w:pPr>
              <w:widowControl/>
              <w:jc w:val="center"/>
              <w:rPr>
                <w:rFonts w:hint="default"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default"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default"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default"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default"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4" w:type="dxa"/>
            <w:gridSpan w:val="3"/>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88"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c>
          <w:tcPr>
            <w:tcW w:w="692" w:type="dxa"/>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4"/>
                <w:szCs w:val="24"/>
                <w:lang w:val="en-US" w:eastAsia="zh-CN"/>
              </w:rPr>
              <w:t>0</w:t>
            </w:r>
          </w:p>
        </w:tc>
      </w:tr>
    </w:tbl>
    <w:p>
      <w:pPr>
        <w:widowControl/>
        <w:shd w:val="clear" w:color="auto" w:fill="FFFFFF"/>
        <w:spacing w:line="525" w:lineRule="atLeast"/>
        <w:ind w:firstLine="480" w:firstLineChars="150"/>
        <w:jc w:val="left"/>
        <w:rPr>
          <w:rFonts w:hint="eastAsia" w:ascii="黑体" w:hAnsi="黑体" w:eastAsia="黑体" w:cs="仿宋"/>
          <w:sz w:val="32"/>
          <w:szCs w:val="32"/>
        </w:rPr>
      </w:pPr>
    </w:p>
    <w:p>
      <w:pPr>
        <w:widowControl/>
        <w:shd w:val="clear" w:color="auto" w:fill="FFFFFF"/>
        <w:spacing w:line="525" w:lineRule="atLeast"/>
        <w:ind w:firstLine="480" w:firstLineChars="150"/>
        <w:jc w:val="left"/>
        <w:rPr>
          <w:rFonts w:ascii="黑体" w:hAnsi="黑体" w:eastAsia="黑体" w:cs="宋体"/>
          <w:color w:val="333333"/>
          <w:kern w:val="0"/>
          <w:sz w:val="32"/>
          <w:szCs w:val="32"/>
        </w:rPr>
      </w:pPr>
      <w:r>
        <w:rPr>
          <w:rFonts w:hint="eastAsia" w:ascii="黑体" w:hAnsi="黑体" w:eastAsia="黑体" w:cs="仿宋"/>
          <w:sz w:val="32"/>
          <w:szCs w:val="32"/>
        </w:rPr>
        <w:t>四</w:t>
      </w:r>
      <w:r>
        <w:rPr>
          <w:rFonts w:ascii="黑体" w:hAnsi="黑体" w:eastAsia="黑体" w:cs="仿宋"/>
          <w:sz w:val="32"/>
          <w:szCs w:val="32"/>
        </w:rPr>
        <w:t>、</w:t>
      </w:r>
      <w:r>
        <w:rPr>
          <w:rFonts w:hint="eastAsia" w:ascii="黑体" w:hAnsi="黑体" w:eastAsia="黑体" w:cs="宋体"/>
          <w:color w:val="333333"/>
          <w:kern w:val="0"/>
          <w:sz w:val="32"/>
          <w:szCs w:val="32"/>
        </w:rPr>
        <w:t>政府信息公开行政复议、行政诉讼情况</w:t>
      </w:r>
    </w:p>
    <w:tbl>
      <w:tblPr>
        <w:tblStyle w:val="9"/>
        <w:tblW w:w="831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51"/>
        <w:gridCol w:w="551"/>
        <w:gridCol w:w="551"/>
        <w:gridCol w:w="552"/>
        <w:gridCol w:w="537"/>
        <w:gridCol w:w="567"/>
        <w:gridCol w:w="552"/>
        <w:gridCol w:w="552"/>
        <w:gridCol w:w="552"/>
        <w:gridCol w:w="577"/>
        <w:gridCol w:w="552"/>
        <w:gridCol w:w="552"/>
        <w:gridCol w:w="552"/>
        <w:gridCol w:w="552"/>
        <w:gridCol w:w="5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742" w:type="dxa"/>
            <w:gridSpan w:val="5"/>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ascii="宋体" w:hAnsi="宋体" w:eastAsia="宋体" w:cs="宋体"/>
                <w:kern w:val="0"/>
                <w:sz w:val="24"/>
                <w:szCs w:val="24"/>
              </w:rPr>
            </w:pPr>
            <w:r>
              <w:rPr>
                <w:rFonts w:hint="eastAsia" w:eastAsia="宋体" w:cs="宋体"/>
                <w:kern w:val="0"/>
                <w:sz w:val="24"/>
                <w:szCs w:val="24"/>
              </w:rPr>
              <w:t>行政复议 </w:t>
            </w:r>
          </w:p>
        </w:tc>
        <w:tc>
          <w:tcPr>
            <w:tcW w:w="5572" w:type="dxa"/>
            <w:gridSpan w:val="10"/>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行政诉讼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51" w:type="dxa"/>
            <w:vMerge w:val="restart"/>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结果维持 </w:t>
            </w:r>
          </w:p>
        </w:tc>
        <w:tc>
          <w:tcPr>
            <w:tcW w:w="551" w:type="dxa"/>
            <w:vMerge w:val="restart"/>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结果纠正 </w:t>
            </w:r>
          </w:p>
        </w:tc>
        <w:tc>
          <w:tcPr>
            <w:tcW w:w="551" w:type="dxa"/>
            <w:vMerge w:val="restart"/>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其他结果 </w:t>
            </w:r>
          </w:p>
        </w:tc>
        <w:tc>
          <w:tcPr>
            <w:tcW w:w="552" w:type="dxa"/>
            <w:vMerge w:val="restart"/>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尚未审结 </w:t>
            </w:r>
          </w:p>
        </w:tc>
        <w:tc>
          <w:tcPr>
            <w:tcW w:w="537" w:type="dxa"/>
            <w:vMerge w:val="restart"/>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总计 </w:t>
            </w:r>
          </w:p>
        </w:tc>
        <w:tc>
          <w:tcPr>
            <w:tcW w:w="2800" w:type="dxa"/>
            <w:gridSpan w:val="5"/>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未经复议直接起诉 </w:t>
            </w:r>
          </w:p>
        </w:tc>
        <w:tc>
          <w:tcPr>
            <w:tcW w:w="2772" w:type="dxa"/>
            <w:gridSpan w:val="5"/>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复议后起诉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51"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551"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551"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55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53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567"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结果维持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结果纠正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其他结果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尚未审结 </w:t>
            </w:r>
          </w:p>
        </w:tc>
        <w:tc>
          <w:tcPr>
            <w:tcW w:w="577"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总计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结果维持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结果纠正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其他结果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尚未审结 </w:t>
            </w:r>
          </w:p>
        </w:tc>
        <w:tc>
          <w:tcPr>
            <w:tcW w:w="564"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总计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51"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lang w:val="en-US" w:eastAsia="zh-CN"/>
              </w:rPr>
            </w:pPr>
            <w:r>
              <w:rPr>
                <w:rFonts w:hint="eastAsia" w:eastAsia="宋体" w:cs="宋体"/>
                <w:kern w:val="0"/>
                <w:sz w:val="24"/>
                <w:szCs w:val="24"/>
              </w:rPr>
              <w:t>  </w:t>
            </w:r>
            <w:r>
              <w:rPr>
                <w:rFonts w:hint="eastAsia" w:eastAsia="宋体" w:cs="宋体"/>
                <w:kern w:val="0"/>
                <w:sz w:val="24"/>
                <w:szCs w:val="24"/>
                <w:lang w:val="en-US" w:eastAsia="zh-CN"/>
              </w:rPr>
              <w:t>0</w:t>
            </w:r>
          </w:p>
        </w:tc>
        <w:tc>
          <w:tcPr>
            <w:tcW w:w="551"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lang w:val="en-US" w:eastAsia="zh-CN"/>
              </w:rPr>
              <w:t>0</w:t>
            </w:r>
            <w:r>
              <w:rPr>
                <w:rFonts w:hint="eastAsia" w:eastAsia="宋体" w:cs="宋体"/>
                <w:kern w:val="0"/>
                <w:sz w:val="24"/>
                <w:szCs w:val="24"/>
              </w:rPr>
              <w:t>  </w:t>
            </w:r>
          </w:p>
        </w:tc>
        <w:tc>
          <w:tcPr>
            <w:tcW w:w="551"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 </w:t>
            </w:r>
            <w:r>
              <w:rPr>
                <w:rFonts w:hint="eastAsia" w:eastAsia="宋体" w:cs="宋体"/>
                <w:kern w:val="0"/>
                <w:sz w:val="24"/>
                <w:szCs w:val="24"/>
                <w:lang w:val="en-US" w:eastAsia="zh-CN"/>
              </w:rPr>
              <w:t>0</w:t>
            </w:r>
            <w:r>
              <w:rPr>
                <w:rFonts w:hint="eastAsia" w:eastAsia="宋体" w:cs="宋体"/>
                <w:kern w:val="0"/>
                <w:sz w:val="24"/>
                <w:szCs w:val="24"/>
              </w:rPr>
              <w:t>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lang w:val="en-US" w:eastAsia="zh-CN"/>
              </w:rPr>
              <w:t>0</w:t>
            </w:r>
            <w:r>
              <w:rPr>
                <w:rFonts w:hint="eastAsia" w:eastAsia="宋体" w:cs="宋体"/>
                <w:kern w:val="0"/>
                <w:sz w:val="24"/>
                <w:szCs w:val="24"/>
              </w:rPr>
              <w:t>  </w:t>
            </w:r>
          </w:p>
        </w:tc>
        <w:tc>
          <w:tcPr>
            <w:tcW w:w="537"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 </w:t>
            </w:r>
            <w:r>
              <w:rPr>
                <w:rFonts w:hint="eastAsia" w:eastAsia="宋体" w:cs="宋体"/>
                <w:kern w:val="0"/>
                <w:sz w:val="24"/>
                <w:szCs w:val="24"/>
                <w:lang w:val="en-US" w:eastAsia="zh-CN"/>
              </w:rPr>
              <w:t>0</w:t>
            </w:r>
            <w:r>
              <w:rPr>
                <w:rFonts w:hint="eastAsia" w:eastAsia="宋体" w:cs="宋体"/>
                <w:kern w:val="0"/>
                <w:sz w:val="24"/>
                <w:szCs w:val="24"/>
              </w:rPr>
              <w:t> </w:t>
            </w:r>
          </w:p>
        </w:tc>
        <w:tc>
          <w:tcPr>
            <w:tcW w:w="567"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lang w:val="en-US" w:eastAsia="zh-CN"/>
              </w:rPr>
            </w:pPr>
            <w:r>
              <w:rPr>
                <w:rFonts w:hint="eastAsia" w:eastAsia="宋体" w:cs="宋体"/>
                <w:kern w:val="0"/>
                <w:sz w:val="24"/>
                <w:szCs w:val="24"/>
              </w:rPr>
              <w:t> </w:t>
            </w:r>
            <w:r>
              <w:rPr>
                <w:rFonts w:hint="eastAsia" w:eastAsia="宋体" w:cs="宋体"/>
                <w:kern w:val="0"/>
                <w:sz w:val="24"/>
                <w:szCs w:val="24"/>
                <w:lang w:val="en-US" w:eastAsia="zh-CN"/>
              </w:rPr>
              <w:t>0</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lang w:val="en-US" w:eastAsia="zh-CN"/>
              </w:rPr>
            </w:pPr>
            <w:r>
              <w:rPr>
                <w:rFonts w:hint="eastAsia" w:eastAsia="宋体" w:cs="宋体"/>
                <w:kern w:val="0"/>
                <w:sz w:val="24"/>
                <w:szCs w:val="24"/>
              </w:rPr>
              <w:t>  </w:t>
            </w:r>
            <w:r>
              <w:rPr>
                <w:rFonts w:hint="eastAsia" w:eastAsia="宋体" w:cs="宋体"/>
                <w:kern w:val="0"/>
                <w:sz w:val="24"/>
                <w:szCs w:val="24"/>
                <w:lang w:val="en-US" w:eastAsia="zh-CN"/>
              </w:rPr>
              <w:t>0</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lang w:val="en-US" w:eastAsia="zh-CN"/>
              </w:rPr>
              <w:t>0</w:t>
            </w:r>
            <w:r>
              <w:rPr>
                <w:rFonts w:hint="eastAsia" w:eastAsia="宋体" w:cs="宋体"/>
                <w:kern w:val="0"/>
                <w:sz w:val="24"/>
                <w:szCs w:val="24"/>
              </w:rPr>
              <w:t>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lang w:val="en-US" w:eastAsia="zh-CN"/>
              </w:rPr>
              <w:t>0</w:t>
            </w:r>
            <w:r>
              <w:rPr>
                <w:rFonts w:hint="eastAsia" w:eastAsia="宋体" w:cs="宋体"/>
                <w:kern w:val="0"/>
                <w:sz w:val="24"/>
                <w:szCs w:val="24"/>
              </w:rPr>
              <w:t>  </w:t>
            </w:r>
          </w:p>
        </w:tc>
        <w:tc>
          <w:tcPr>
            <w:tcW w:w="577"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lang w:val="en-US" w:eastAsia="zh-CN"/>
              </w:rPr>
            </w:pPr>
            <w:r>
              <w:rPr>
                <w:rFonts w:hint="eastAsia" w:eastAsia="宋体" w:cs="宋体"/>
                <w:kern w:val="0"/>
                <w:sz w:val="24"/>
                <w:szCs w:val="24"/>
                <w:lang w:val="en-US" w:eastAsia="zh-CN"/>
              </w:rPr>
              <w:t>0</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lang w:val="en-US" w:eastAsia="zh-CN"/>
              </w:rPr>
              <w:t>0</w:t>
            </w:r>
            <w:r>
              <w:rPr>
                <w:rFonts w:hint="eastAsia" w:eastAsia="宋体" w:cs="宋体"/>
                <w:kern w:val="0"/>
                <w:sz w:val="24"/>
                <w:szCs w:val="24"/>
              </w:rPr>
              <w:t>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 </w:t>
            </w:r>
            <w:r>
              <w:rPr>
                <w:rFonts w:hint="eastAsia" w:eastAsia="宋体" w:cs="宋体"/>
                <w:kern w:val="0"/>
                <w:sz w:val="24"/>
                <w:szCs w:val="24"/>
                <w:lang w:val="en-US" w:eastAsia="zh-CN"/>
              </w:rPr>
              <w:t>0</w:t>
            </w:r>
            <w:r>
              <w:rPr>
                <w:rFonts w:hint="eastAsia" w:eastAsia="宋体" w:cs="宋体"/>
                <w:kern w:val="0"/>
                <w:sz w:val="24"/>
                <w:szCs w:val="24"/>
              </w:rPr>
              <w:t>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lang w:val="en-US" w:eastAsia="zh-CN"/>
              </w:rPr>
              <w:t>0</w:t>
            </w:r>
            <w:r>
              <w:rPr>
                <w:rFonts w:hint="eastAsia" w:eastAsia="宋体" w:cs="宋体"/>
                <w:kern w:val="0"/>
                <w:sz w:val="24"/>
                <w:szCs w:val="24"/>
              </w:rPr>
              <w:t>  </w:t>
            </w:r>
          </w:p>
        </w:tc>
        <w:tc>
          <w:tcPr>
            <w:tcW w:w="552"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rPr>
            </w:pPr>
            <w:r>
              <w:rPr>
                <w:rFonts w:hint="eastAsia" w:eastAsia="宋体" w:cs="宋体"/>
                <w:kern w:val="0"/>
                <w:sz w:val="24"/>
                <w:szCs w:val="24"/>
              </w:rPr>
              <w:t> </w:t>
            </w:r>
            <w:r>
              <w:rPr>
                <w:rFonts w:hint="eastAsia" w:eastAsia="宋体" w:cs="宋体"/>
                <w:kern w:val="0"/>
                <w:sz w:val="24"/>
                <w:szCs w:val="24"/>
                <w:lang w:val="en-US" w:eastAsia="zh-CN"/>
              </w:rPr>
              <w:t>0</w:t>
            </w:r>
            <w:r>
              <w:rPr>
                <w:rFonts w:hint="eastAsia" w:eastAsia="宋体" w:cs="宋体"/>
                <w:kern w:val="0"/>
                <w:sz w:val="24"/>
                <w:szCs w:val="24"/>
              </w:rPr>
              <w:t> </w:t>
            </w:r>
          </w:p>
        </w:tc>
        <w:tc>
          <w:tcPr>
            <w:tcW w:w="564"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after="100" w:afterAutospacing="1" w:line="390" w:lineRule="atLeast"/>
              <w:jc w:val="center"/>
              <w:rPr>
                <w:rFonts w:hint="eastAsia" w:eastAsia="宋体" w:cs="宋体"/>
                <w:kern w:val="0"/>
                <w:sz w:val="24"/>
                <w:szCs w:val="24"/>
                <w:lang w:val="en-US" w:eastAsia="zh-CN"/>
              </w:rPr>
            </w:pPr>
            <w:r>
              <w:rPr>
                <w:rFonts w:hint="eastAsia" w:eastAsia="宋体" w:cs="宋体"/>
                <w:kern w:val="0"/>
                <w:sz w:val="24"/>
                <w:szCs w:val="24"/>
                <w:lang w:val="en-US" w:eastAsia="zh-CN"/>
              </w:rPr>
              <w:t>0</w:t>
            </w:r>
          </w:p>
        </w:tc>
      </w:tr>
    </w:tbl>
    <w:p>
      <w:pPr>
        <w:widowControl/>
        <w:shd w:val="clear" w:color="auto" w:fill="FFFFFF"/>
        <w:spacing w:line="525" w:lineRule="atLeast"/>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五</w:t>
      </w:r>
      <w:r>
        <w:rPr>
          <w:rFonts w:ascii="黑体" w:hAnsi="黑体" w:eastAsia="黑体" w:cs="宋体"/>
          <w:color w:val="333333"/>
          <w:kern w:val="0"/>
          <w:sz w:val="32"/>
          <w:szCs w:val="32"/>
        </w:rPr>
        <w:t>、</w:t>
      </w:r>
      <w:r>
        <w:rPr>
          <w:rFonts w:hint="eastAsia" w:ascii="黑体" w:hAnsi="黑体" w:eastAsia="黑体" w:cs="宋体"/>
          <w:color w:val="333333"/>
          <w:kern w:val="0"/>
          <w:sz w:val="32"/>
          <w:szCs w:val="32"/>
        </w:rPr>
        <w:t>存在的主要问题及改进情况</w:t>
      </w:r>
    </w:p>
    <w:p>
      <w:pPr>
        <w:spacing w:line="57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济南市行政审批服务局政府信息公开工作取得了一定成效，但对照新时代政务公开工作新要求和企业群众期盼，仍存在一些不足，主要表现在：一是政策评价工作有欠缺，缺少对既有政策施行效果的检查评估；二是公开平台还需优化，网站、政务新媒体部分栏目存在更新滞后、公开形式不丰富等问题。</w:t>
      </w:r>
    </w:p>
    <w:p>
      <w:pPr>
        <w:spacing w:line="57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下一步，</w:t>
      </w:r>
      <w:r>
        <w:rPr>
          <w:rFonts w:hint="eastAsia" w:ascii="仿宋_GB2312" w:eastAsia="仿宋_GB2312"/>
          <w:color w:val="000000" w:themeColor="text1"/>
          <w:sz w:val="32"/>
          <w:szCs w:val="32"/>
          <w:lang w:val="en-US" w:eastAsia="zh-CN"/>
          <w14:textFill>
            <w14:solidFill>
              <w14:schemeClr w14:val="tx1"/>
            </w14:solidFill>
          </w14:textFill>
        </w:rPr>
        <w:t>济南市行政审批服务局将举一反三、取长补短，不断完善制度规范，创新公开方式，增强公开实效，为进一步提升服务效能、推进高质量发展贡献力量。一是强化政策解读评价，灵活运用多种形式，规范深入做好政策解读和评价，提高企业群众获得感。二是强化平台建设，常态化抓好政府网站和政务新媒体平台优化提升，积极回应群众关切。三是严格督查考核，健全政务公开工作机制，落实监督问效，提高公开质量。</w:t>
      </w:r>
    </w:p>
    <w:p>
      <w:pPr>
        <w:spacing w:line="57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六</w:t>
      </w:r>
      <w:r>
        <w:rPr>
          <w:rFonts w:ascii="黑体" w:hAnsi="黑体" w:eastAsia="黑体"/>
          <w:color w:val="000000" w:themeColor="text1"/>
          <w:sz w:val="32"/>
          <w:szCs w:val="32"/>
          <w:shd w:val="clear" w:color="auto" w:fill="FFFFFF"/>
          <w14:textFill>
            <w14:solidFill>
              <w14:schemeClr w14:val="tx1"/>
            </w14:solidFill>
          </w14:textFill>
        </w:rPr>
        <w:t>、其他需要报告的事项</w:t>
      </w:r>
    </w:p>
    <w:p>
      <w:pPr>
        <w:spacing w:line="57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（一）政府信息公开申请收费情况。</w:t>
      </w:r>
      <w:r>
        <w:rPr>
          <w:rFonts w:hint="eastAsia" w:ascii="仿宋_GB2312" w:eastAsia="仿宋_GB2312"/>
          <w:color w:val="000000" w:themeColor="text1"/>
          <w:sz w:val="32"/>
          <w:szCs w:val="32"/>
          <w:lang w:val="en-US" w:eastAsia="zh-CN"/>
          <w14:textFill>
            <w14:solidFill>
              <w14:schemeClr w14:val="tx1"/>
            </w14:solidFill>
          </w14:textFill>
        </w:rPr>
        <w:t>按照《国务院办公厅关于印发&lt;政府信息公开信息处理费管理办法&gt;的通知》（国办函〔2020〕109号）和《山东省人民政府办公厅关于做好政府信息公开信息处理费管理工作有关事项的通知》（鲁政办字〔2020〕179号）文件精神，申请人申请公开政府信息的数量、频次明显超过合理范围的，收取信息处理费。2023年，济南市行政审批服务局未收取政府信息公开申请费用。</w:t>
      </w:r>
    </w:p>
    <w:p>
      <w:pPr>
        <w:spacing w:line="57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（二）落实上级年度政务公开工作要点情况。</w:t>
      </w:r>
      <w:r>
        <w:rPr>
          <w:rFonts w:hint="eastAsia" w:ascii="仿宋_GB2312" w:eastAsia="仿宋_GB2312"/>
          <w:color w:val="000000" w:themeColor="text1"/>
          <w:sz w:val="32"/>
          <w:szCs w:val="32"/>
          <w:lang w:val="en-US" w:eastAsia="zh-CN"/>
          <w14:textFill>
            <w14:solidFill>
              <w14:schemeClr w14:val="tx1"/>
            </w14:solidFill>
          </w14:textFill>
        </w:rPr>
        <w:t>认真贯彻落实2023年全市政务公开工作要点，坚持围绕中心、服务大局，结合工作实际，不断提升政务公开规范化、特色化、数字化水平。一是强化数字赋能，提升公开效能。上线“云大厅”，全量展示办事指南等信息，优化“智惠导服”平台建设，为企业群众提供“7×24小时”“人工+智能”咨询服务，提升政民政企沟通效率。二是服务项目一线，畅通公开路径。围绕重点项目和企业需求，依托“泉惠企”服务站、政务公开专区平台，加强惠企政策、审批服务流程等内容的公开解读，助力项目建设提速增效。三是深化交流互动，汇聚发展合力。围绕涉企服务、“跨域通办”等公众广泛关注的领域，依托“商量”平台、“企业家会客厅”等载体，组织开展“政府开放月”等活动，倾听意见建议，凝聚发展共识。</w:t>
      </w:r>
    </w:p>
    <w:p>
      <w:pPr>
        <w:spacing w:line="57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（三）人大代表建议和政协提案办理结果公开情况。</w:t>
      </w:r>
      <w:r>
        <w:rPr>
          <w:rFonts w:hint="eastAsia" w:ascii="仿宋_GB2312" w:hAnsi="楷体" w:eastAsia="仿宋_GB2312"/>
          <w:color w:val="000000" w:themeColor="text1"/>
          <w:sz w:val="32"/>
          <w:szCs w:val="32"/>
          <w:lang w:eastAsia="zh-CN"/>
          <w14:textFill>
            <w14:solidFill>
              <w14:schemeClr w14:val="tx1"/>
            </w14:solidFill>
          </w14:textFill>
        </w:rPr>
        <w:t>进一步强化责任担当，加强协调调度，不断</w:t>
      </w:r>
      <w:r>
        <w:rPr>
          <w:rFonts w:hint="eastAsia" w:ascii="仿宋_GB2312" w:hAnsi="楷体" w:eastAsia="仿宋_GB2312"/>
          <w:color w:val="000000" w:themeColor="text1"/>
          <w:sz w:val="32"/>
          <w:szCs w:val="32"/>
          <w:lang w:val="en-US" w:eastAsia="zh-CN"/>
          <w14:textFill>
            <w14:solidFill>
              <w14:schemeClr w14:val="tx1"/>
            </w14:solidFill>
          </w14:textFill>
        </w:rPr>
        <w:t>提高</w:t>
      </w:r>
      <w:r>
        <w:rPr>
          <w:rFonts w:hint="eastAsia" w:ascii="仿宋_GB2312" w:hAnsi="楷体" w:eastAsia="仿宋_GB2312"/>
          <w:color w:val="000000" w:themeColor="text1"/>
          <w:sz w:val="32"/>
          <w:szCs w:val="32"/>
          <w:lang w:eastAsia="zh-CN"/>
          <w14:textFill>
            <w14:solidFill>
              <w14:schemeClr w14:val="tx1"/>
            </w14:solidFill>
          </w14:textFill>
        </w:rPr>
        <w:t>人大</w:t>
      </w:r>
      <w:r>
        <w:rPr>
          <w:rFonts w:hint="eastAsia" w:ascii="仿宋_GB2312" w:hAnsi="楷体" w:eastAsia="仿宋_GB2312"/>
          <w:color w:val="000000" w:themeColor="text1"/>
          <w:sz w:val="32"/>
          <w:szCs w:val="32"/>
          <w:lang w:val="en-US" w:eastAsia="zh-CN"/>
          <w14:textFill>
            <w14:solidFill>
              <w14:schemeClr w14:val="tx1"/>
            </w14:solidFill>
          </w14:textFill>
        </w:rPr>
        <w:t>代表</w:t>
      </w:r>
      <w:r>
        <w:rPr>
          <w:rFonts w:hint="eastAsia" w:ascii="仿宋_GB2312" w:hAnsi="楷体" w:eastAsia="仿宋_GB2312"/>
          <w:color w:val="000000" w:themeColor="text1"/>
          <w:sz w:val="32"/>
          <w:szCs w:val="32"/>
          <w:lang w:eastAsia="zh-CN"/>
          <w14:textFill>
            <w14:solidFill>
              <w14:schemeClr w14:val="tx1"/>
            </w14:solidFill>
          </w14:textFill>
        </w:rPr>
        <w:t>建议和政协提案办理工作科学化水平。</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2023</w:t>
      </w:r>
      <w:r>
        <w:rPr>
          <w:rFonts w:hint="eastAsia" w:ascii="仿宋_GB2312" w:hAnsi="楷体" w:eastAsia="仿宋_GB2312"/>
          <w:color w:val="000000" w:themeColor="text1"/>
          <w:sz w:val="32"/>
          <w:szCs w:val="32"/>
          <w:highlight w:val="none"/>
          <w:lang w:eastAsia="zh-CN"/>
          <w14:textFill>
            <w14:solidFill>
              <w14:schemeClr w14:val="tx1"/>
            </w14:solidFill>
          </w14:textFill>
        </w:rPr>
        <w:t>年，共承办人大代表建议和政协提案办理</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23</w:t>
      </w:r>
      <w:r>
        <w:rPr>
          <w:rFonts w:hint="eastAsia" w:ascii="仿宋_GB2312" w:hAnsi="楷体" w:eastAsia="仿宋_GB2312"/>
          <w:color w:val="000000" w:themeColor="text1"/>
          <w:sz w:val="32"/>
          <w:szCs w:val="32"/>
          <w:lang w:eastAsia="zh-CN"/>
          <w14:textFill>
            <w14:solidFill>
              <w14:schemeClr w14:val="tx1"/>
            </w14:solidFill>
          </w14:textFill>
        </w:rPr>
        <w:t>件，涉及</w:t>
      </w:r>
      <w:r>
        <w:rPr>
          <w:rFonts w:hint="eastAsia" w:ascii="仿宋_GB2312" w:hAnsi="楷体" w:eastAsia="仿宋_GB2312"/>
          <w:color w:val="000000" w:themeColor="text1"/>
          <w:sz w:val="32"/>
          <w:szCs w:val="32"/>
          <w:lang w:val="en-US" w:eastAsia="zh-CN"/>
          <w14:textFill>
            <w14:solidFill>
              <w14:schemeClr w14:val="tx1"/>
            </w14:solidFill>
          </w14:textFill>
        </w:rPr>
        <w:t>优化营商环境</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提升惠企服务效能</w:t>
      </w:r>
      <w:r>
        <w:rPr>
          <w:rFonts w:hint="eastAsia" w:ascii="仿宋_GB2312" w:hAnsi="楷体" w:eastAsia="仿宋_GB2312"/>
          <w:color w:val="000000" w:themeColor="text1"/>
          <w:sz w:val="32"/>
          <w:szCs w:val="32"/>
          <w:lang w:eastAsia="zh-CN"/>
          <w14:textFill>
            <w14:solidFill>
              <w14:schemeClr w14:val="tx1"/>
            </w14:solidFill>
          </w14:textFill>
        </w:rPr>
        <w:t>等方面，均已按期办结</w:t>
      </w:r>
      <w:r>
        <w:rPr>
          <w:rFonts w:hint="eastAsia" w:ascii="仿宋_GB2312" w:hAnsi="楷体" w:eastAsia="仿宋_GB2312"/>
          <w:color w:val="000000" w:themeColor="text1"/>
          <w:sz w:val="32"/>
          <w:szCs w:val="32"/>
          <w:lang w:val="en-US" w:eastAsia="zh-CN"/>
          <w14:textFill>
            <w14:solidFill>
              <w14:schemeClr w14:val="tx1"/>
            </w14:solidFill>
          </w14:textFill>
        </w:rPr>
        <w:t>，符合公开要求的全部予以公开</w:t>
      </w:r>
      <w:r>
        <w:rPr>
          <w:rFonts w:hint="eastAsia" w:ascii="仿宋_GB2312" w:hAnsi="楷体" w:eastAsia="仿宋_GB2312"/>
          <w:color w:val="000000" w:themeColor="text1"/>
          <w:sz w:val="32"/>
          <w:szCs w:val="32"/>
          <w:lang w:eastAsia="zh-CN"/>
          <w14:textFill>
            <w14:solidFill>
              <w14:schemeClr w14:val="tx1"/>
            </w14:solidFill>
          </w14:textFil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912791"/>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zOTU1ZjJmNTc3ZDAzYWM3ZGM0MmU2YmRhOThlOWIifQ=="/>
  </w:docVars>
  <w:rsids>
    <w:rsidRoot w:val="00CA79B9"/>
    <w:rsid w:val="00055D1A"/>
    <w:rsid w:val="000763CC"/>
    <w:rsid w:val="000A631F"/>
    <w:rsid w:val="000B61F5"/>
    <w:rsid w:val="000D68B2"/>
    <w:rsid w:val="00122D2A"/>
    <w:rsid w:val="00125CDA"/>
    <w:rsid w:val="00195A52"/>
    <w:rsid w:val="001B3858"/>
    <w:rsid w:val="001B4578"/>
    <w:rsid w:val="001E03B8"/>
    <w:rsid w:val="00211B18"/>
    <w:rsid w:val="00216815"/>
    <w:rsid w:val="00216F13"/>
    <w:rsid w:val="002606F3"/>
    <w:rsid w:val="002766B3"/>
    <w:rsid w:val="002A7770"/>
    <w:rsid w:val="002B1B45"/>
    <w:rsid w:val="002F44AD"/>
    <w:rsid w:val="0030227C"/>
    <w:rsid w:val="00302DC9"/>
    <w:rsid w:val="0031589B"/>
    <w:rsid w:val="00326DD4"/>
    <w:rsid w:val="00331BBC"/>
    <w:rsid w:val="00342095"/>
    <w:rsid w:val="003D7EBA"/>
    <w:rsid w:val="00422B3D"/>
    <w:rsid w:val="00436343"/>
    <w:rsid w:val="00436FDC"/>
    <w:rsid w:val="004A728F"/>
    <w:rsid w:val="004B51F3"/>
    <w:rsid w:val="004D7A59"/>
    <w:rsid w:val="00534BA1"/>
    <w:rsid w:val="0055360F"/>
    <w:rsid w:val="00584144"/>
    <w:rsid w:val="00587CDD"/>
    <w:rsid w:val="005968E0"/>
    <w:rsid w:val="005A1CCF"/>
    <w:rsid w:val="005A49EF"/>
    <w:rsid w:val="005B01E3"/>
    <w:rsid w:val="005E49E2"/>
    <w:rsid w:val="005F4936"/>
    <w:rsid w:val="0060526B"/>
    <w:rsid w:val="006166E4"/>
    <w:rsid w:val="00620D18"/>
    <w:rsid w:val="0062605E"/>
    <w:rsid w:val="00675EC9"/>
    <w:rsid w:val="006829CA"/>
    <w:rsid w:val="00683378"/>
    <w:rsid w:val="006A664F"/>
    <w:rsid w:val="006C67EB"/>
    <w:rsid w:val="006D14E0"/>
    <w:rsid w:val="006D470A"/>
    <w:rsid w:val="006E45B5"/>
    <w:rsid w:val="00737E27"/>
    <w:rsid w:val="007717B6"/>
    <w:rsid w:val="007E1239"/>
    <w:rsid w:val="00811FC4"/>
    <w:rsid w:val="00822C3D"/>
    <w:rsid w:val="00841455"/>
    <w:rsid w:val="00863B8F"/>
    <w:rsid w:val="008663E8"/>
    <w:rsid w:val="00894D30"/>
    <w:rsid w:val="008B3767"/>
    <w:rsid w:val="008E4BDB"/>
    <w:rsid w:val="008E7B6A"/>
    <w:rsid w:val="00915965"/>
    <w:rsid w:val="00915C90"/>
    <w:rsid w:val="00925DC8"/>
    <w:rsid w:val="00927854"/>
    <w:rsid w:val="009410C0"/>
    <w:rsid w:val="0095158C"/>
    <w:rsid w:val="00974214"/>
    <w:rsid w:val="009B786B"/>
    <w:rsid w:val="009D1887"/>
    <w:rsid w:val="009D578F"/>
    <w:rsid w:val="009F6D23"/>
    <w:rsid w:val="009F6E33"/>
    <w:rsid w:val="00A233A9"/>
    <w:rsid w:val="00A24275"/>
    <w:rsid w:val="00A42A11"/>
    <w:rsid w:val="00A545B1"/>
    <w:rsid w:val="00A83523"/>
    <w:rsid w:val="00A83DB5"/>
    <w:rsid w:val="00B377B8"/>
    <w:rsid w:val="00B43B51"/>
    <w:rsid w:val="00B82DBC"/>
    <w:rsid w:val="00B865BB"/>
    <w:rsid w:val="00B9596C"/>
    <w:rsid w:val="00B961A9"/>
    <w:rsid w:val="00BA2E94"/>
    <w:rsid w:val="00BA74BC"/>
    <w:rsid w:val="00BB3BB1"/>
    <w:rsid w:val="00BB5F58"/>
    <w:rsid w:val="00BC610B"/>
    <w:rsid w:val="00C54147"/>
    <w:rsid w:val="00CA79B9"/>
    <w:rsid w:val="00CB1AE9"/>
    <w:rsid w:val="00CB7C3C"/>
    <w:rsid w:val="00CC11CE"/>
    <w:rsid w:val="00CC7FD7"/>
    <w:rsid w:val="00CE0834"/>
    <w:rsid w:val="00CE1BF8"/>
    <w:rsid w:val="00D0431D"/>
    <w:rsid w:val="00D043D7"/>
    <w:rsid w:val="00D15999"/>
    <w:rsid w:val="00D25106"/>
    <w:rsid w:val="00D3223E"/>
    <w:rsid w:val="00D35665"/>
    <w:rsid w:val="00D36920"/>
    <w:rsid w:val="00D726F5"/>
    <w:rsid w:val="00D90543"/>
    <w:rsid w:val="00DB206C"/>
    <w:rsid w:val="00DE2614"/>
    <w:rsid w:val="00DE3C26"/>
    <w:rsid w:val="00E00BFF"/>
    <w:rsid w:val="00E0382B"/>
    <w:rsid w:val="00E1696B"/>
    <w:rsid w:val="00E4793B"/>
    <w:rsid w:val="00E56BB9"/>
    <w:rsid w:val="00E665CC"/>
    <w:rsid w:val="00EB54B9"/>
    <w:rsid w:val="00ED2BC9"/>
    <w:rsid w:val="00EF2D01"/>
    <w:rsid w:val="00F4362A"/>
    <w:rsid w:val="00F46F25"/>
    <w:rsid w:val="00F92F8E"/>
    <w:rsid w:val="00FC4CBC"/>
    <w:rsid w:val="00FC71B1"/>
    <w:rsid w:val="00FE0DBD"/>
    <w:rsid w:val="09B83EEA"/>
    <w:rsid w:val="0A61109D"/>
    <w:rsid w:val="0B024A01"/>
    <w:rsid w:val="0D0B5F08"/>
    <w:rsid w:val="0D200E92"/>
    <w:rsid w:val="0DB867CB"/>
    <w:rsid w:val="114E4583"/>
    <w:rsid w:val="146A30D7"/>
    <w:rsid w:val="163640C8"/>
    <w:rsid w:val="1720759A"/>
    <w:rsid w:val="18221F62"/>
    <w:rsid w:val="191D0912"/>
    <w:rsid w:val="1F7D13AE"/>
    <w:rsid w:val="1FA94D17"/>
    <w:rsid w:val="20582329"/>
    <w:rsid w:val="23DA1548"/>
    <w:rsid w:val="23DF3A53"/>
    <w:rsid w:val="274A6239"/>
    <w:rsid w:val="29981AC3"/>
    <w:rsid w:val="299C723D"/>
    <w:rsid w:val="2B393440"/>
    <w:rsid w:val="2C263CC8"/>
    <w:rsid w:val="2C2B1EAB"/>
    <w:rsid w:val="2C4B7DC7"/>
    <w:rsid w:val="2EFA227D"/>
    <w:rsid w:val="303157C6"/>
    <w:rsid w:val="30AB0CE7"/>
    <w:rsid w:val="310A440E"/>
    <w:rsid w:val="32456919"/>
    <w:rsid w:val="37AC6B5C"/>
    <w:rsid w:val="39555104"/>
    <w:rsid w:val="3BAD2926"/>
    <w:rsid w:val="3DCB6A74"/>
    <w:rsid w:val="3E946D6E"/>
    <w:rsid w:val="432220B5"/>
    <w:rsid w:val="4427077C"/>
    <w:rsid w:val="4508389C"/>
    <w:rsid w:val="4860652B"/>
    <w:rsid w:val="49D91611"/>
    <w:rsid w:val="4A7C3B90"/>
    <w:rsid w:val="4B375451"/>
    <w:rsid w:val="4D257B59"/>
    <w:rsid w:val="4D633584"/>
    <w:rsid w:val="50323B00"/>
    <w:rsid w:val="511A58F1"/>
    <w:rsid w:val="52240DB0"/>
    <w:rsid w:val="52F71899"/>
    <w:rsid w:val="553C249F"/>
    <w:rsid w:val="568B7863"/>
    <w:rsid w:val="56B45916"/>
    <w:rsid w:val="5903655E"/>
    <w:rsid w:val="5A8301B6"/>
    <w:rsid w:val="5D1F4509"/>
    <w:rsid w:val="601F7CAD"/>
    <w:rsid w:val="65CC7A0B"/>
    <w:rsid w:val="677A2CE6"/>
    <w:rsid w:val="691F766F"/>
    <w:rsid w:val="69866FCD"/>
    <w:rsid w:val="6A5C09B2"/>
    <w:rsid w:val="6AB00DD7"/>
    <w:rsid w:val="6B8C0E31"/>
    <w:rsid w:val="6BEB571E"/>
    <w:rsid w:val="6C3463EC"/>
    <w:rsid w:val="6D0D0C5D"/>
    <w:rsid w:val="6D3B1768"/>
    <w:rsid w:val="718A1ECC"/>
    <w:rsid w:val="73755B01"/>
    <w:rsid w:val="73DB1CAB"/>
    <w:rsid w:val="7B9A1258"/>
    <w:rsid w:val="7C00345C"/>
    <w:rsid w:val="7D4918B8"/>
    <w:rsid w:val="7F5FFB2D"/>
    <w:rsid w:val="7FFD2611"/>
    <w:rsid w:val="FFFF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3"/>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0" w:after="0" w:afterAutospacing="1"/>
      <w:ind w:left="0" w:right="0"/>
      <w:jc w:val="left"/>
    </w:pPr>
    <w:rPr>
      <w:kern w:val="0"/>
      <w:sz w:val="24"/>
      <w:lang w:val="en-US" w:eastAsia="zh-CN" w:bidi="ar"/>
    </w:rPr>
  </w:style>
  <w:style w:type="character" w:styleId="11">
    <w:name w:val="Strong"/>
    <w:basedOn w:val="10"/>
    <w:qFormat/>
    <w:uiPriority w:val="22"/>
    <w:rPr>
      <w:b/>
      <w:bCs/>
    </w:rPr>
  </w:style>
  <w:style w:type="character" w:styleId="12">
    <w:name w:val="FollowedHyperlink"/>
    <w:basedOn w:val="10"/>
    <w:semiHidden/>
    <w:unhideWhenUsed/>
    <w:uiPriority w:val="99"/>
    <w:rPr>
      <w:color w:val="007BFF"/>
      <w:u w:val="none"/>
    </w:rPr>
  </w:style>
  <w:style w:type="character" w:styleId="13">
    <w:name w:val="Hyperlink"/>
    <w:basedOn w:val="10"/>
    <w:semiHidden/>
    <w:unhideWhenUsed/>
    <w:uiPriority w:val="99"/>
    <w:rPr>
      <w:color w:val="007BFF"/>
      <w:u w:val="none"/>
    </w:rPr>
  </w:style>
  <w:style w:type="character" w:styleId="14">
    <w:name w:val="HTML Code"/>
    <w:basedOn w:val="10"/>
    <w:semiHidden/>
    <w:unhideWhenUsed/>
    <w:qFormat/>
    <w:uiPriority w:val="99"/>
    <w:rPr>
      <w:rFonts w:ascii="Consolas" w:hAnsi="Consolas" w:eastAsia="Consolas" w:cs="Consolas"/>
      <w:color w:val="E83E8C"/>
      <w:sz w:val="21"/>
      <w:szCs w:val="21"/>
    </w:rPr>
  </w:style>
  <w:style w:type="character" w:styleId="15">
    <w:name w:val="HTML Keyboard"/>
    <w:basedOn w:val="10"/>
    <w:semiHidden/>
    <w:unhideWhenUsed/>
    <w:qFormat/>
    <w:uiPriority w:val="99"/>
    <w:rPr>
      <w:rFonts w:hint="default" w:ascii="Consolas" w:hAnsi="Consolas" w:eastAsia="Consolas" w:cs="Consolas"/>
      <w:color w:val="FFFFFF"/>
      <w:sz w:val="21"/>
      <w:szCs w:val="21"/>
      <w:shd w:val="clear" w:fill="212529"/>
    </w:rPr>
  </w:style>
  <w:style w:type="character" w:styleId="16">
    <w:name w:val="HTML Sample"/>
    <w:basedOn w:val="10"/>
    <w:semiHidden/>
    <w:unhideWhenUsed/>
    <w:uiPriority w:val="99"/>
    <w:rPr>
      <w:rFonts w:hint="default" w:ascii="Consolas" w:hAnsi="Consolas" w:eastAsia="Consolas" w:cs="Consolas"/>
      <w:sz w:val="21"/>
      <w:szCs w:val="21"/>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0"/>
    <w:link w:val="2"/>
    <w:qFormat/>
    <w:uiPriority w:val="9"/>
    <w:rPr>
      <w:b/>
      <w:bCs/>
      <w:kern w:val="44"/>
      <w:sz w:val="44"/>
      <w:szCs w:val="44"/>
    </w:rPr>
  </w:style>
  <w:style w:type="character" w:customStyle="1" w:styleId="19">
    <w:name w:val="标题 2 Char"/>
    <w:basedOn w:val="10"/>
    <w:link w:val="3"/>
    <w:qFormat/>
    <w:uiPriority w:val="9"/>
    <w:rPr>
      <w:rFonts w:asciiTheme="majorHAnsi" w:hAnsiTheme="majorHAnsi" w:eastAsiaTheme="majorEastAsia" w:cstheme="majorBidi"/>
      <w:b/>
      <w:bCs/>
      <w:sz w:val="32"/>
      <w:szCs w:val="32"/>
    </w:rPr>
  </w:style>
  <w:style w:type="character" w:customStyle="1" w:styleId="20">
    <w:name w:val="标题 3 Char"/>
    <w:basedOn w:val="10"/>
    <w:link w:val="4"/>
    <w:qFormat/>
    <w:uiPriority w:val="9"/>
    <w:rPr>
      <w:b/>
      <w:bCs/>
      <w:sz w:val="32"/>
      <w:szCs w:val="32"/>
    </w:rPr>
  </w:style>
  <w:style w:type="character" w:customStyle="1" w:styleId="21">
    <w:name w:val="页眉 Char"/>
    <w:basedOn w:val="10"/>
    <w:link w:val="7"/>
    <w:qFormat/>
    <w:uiPriority w:val="99"/>
    <w:rPr>
      <w:sz w:val="18"/>
      <w:szCs w:val="18"/>
    </w:rPr>
  </w:style>
  <w:style w:type="character" w:customStyle="1" w:styleId="22">
    <w:name w:val="页脚 Char"/>
    <w:basedOn w:val="10"/>
    <w:link w:val="6"/>
    <w:qFormat/>
    <w:uiPriority w:val="99"/>
    <w:rPr>
      <w:sz w:val="18"/>
      <w:szCs w:val="18"/>
    </w:rPr>
  </w:style>
  <w:style w:type="character" w:customStyle="1" w:styleId="23">
    <w:name w:val="批注框文本 Char"/>
    <w:basedOn w:val="10"/>
    <w:link w:val="5"/>
    <w:semiHidden/>
    <w:qFormat/>
    <w:uiPriority w:val="99"/>
    <w:rPr>
      <w:sz w:val="18"/>
      <w:szCs w:val="18"/>
    </w:rPr>
  </w:style>
  <w:style w:type="paragraph" w:styleId="24">
    <w:name w:val="List Paragraph"/>
    <w:basedOn w:val="1"/>
    <w:qFormat/>
    <w:uiPriority w:val="34"/>
    <w:pPr>
      <w:ind w:firstLine="420" w:firstLineChars="200"/>
    </w:pPr>
    <w:rPr>
      <w:rFonts w:ascii="宋体" w:hAnsi="宋体" w:eastAsia="仿宋_GB2312"/>
      <w:sz w:val="32"/>
    </w:rPr>
  </w:style>
  <w:style w:type="character" w:customStyle="1" w:styleId="25">
    <w:name w:val="first-child1"/>
    <w:basedOn w:val="10"/>
    <w:qFormat/>
    <w:uiPriority w:val="0"/>
    <w:rPr>
      <w:color w:val="2C2B2B"/>
      <w:sz w:val="24"/>
      <w:szCs w:val="24"/>
    </w:rPr>
  </w:style>
  <w:style w:type="character" w:customStyle="1" w:styleId="26">
    <w:name w:val="last-child1"/>
    <w:basedOn w:val="10"/>
    <w:qFormat/>
    <w:uiPriority w:val="0"/>
    <w:rPr>
      <w:color w:val="888888"/>
      <w:sz w:val="21"/>
      <w:szCs w:val="21"/>
    </w:rPr>
  </w:style>
  <w:style w:type="character" w:customStyle="1" w:styleId="27">
    <w:name w:val="first-child"/>
    <w:basedOn w:val="10"/>
    <w:qFormat/>
    <w:uiPriority w:val="0"/>
    <w:rPr>
      <w:color w:val="2C2B2B"/>
      <w:sz w:val="24"/>
      <w:szCs w:val="24"/>
    </w:rPr>
  </w:style>
  <w:style w:type="character" w:customStyle="1" w:styleId="28">
    <w:name w:val="last-child"/>
    <w:basedOn w:val="10"/>
    <w:qFormat/>
    <w:uiPriority w:val="0"/>
    <w:rPr>
      <w:color w:val="888888"/>
      <w:sz w:val="21"/>
      <w:szCs w:val="21"/>
    </w:rPr>
  </w:style>
  <w:style w:type="character" w:customStyle="1" w:styleId="29">
    <w:name w:val="nth-child(2)"/>
    <w:basedOn w:val="10"/>
    <w:qFormat/>
    <w:uiPriority w:val="0"/>
    <w:rPr>
      <w:color w:val="888888"/>
    </w:rPr>
  </w:style>
  <w:style w:type="character" w:customStyle="1" w:styleId="30">
    <w:name w:val="nth-child(2)1"/>
    <w:basedOn w:val="10"/>
    <w:qFormat/>
    <w:uiPriority w:val="0"/>
    <w:rPr>
      <w:color w:val="888888"/>
    </w:rPr>
  </w:style>
  <w:style w:type="character" w:customStyle="1" w:styleId="31">
    <w:name w:val="nth-child(1)"/>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3372</Words>
  <Characters>3440</Characters>
  <Lines>30</Lines>
  <Paragraphs>8</Paragraphs>
  <TotalTime>23</TotalTime>
  <ScaleCrop>false</ScaleCrop>
  <LinksUpToDate>false</LinksUpToDate>
  <CharactersWithSpaces>3519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2021-02-01T11:12:00Z</dcterms:created>
  <dc:creator>Administrator</dc:creator>
  <cp:lastModifiedBy>王圣军</cp:lastModifiedBy>
  <cp:lastPrinted>2020-11-09T15:01:00Z</cp:lastPrinted>
  <dcterms:modified xsi:type="dcterms:W3CDTF">2024-01-29T03:30:15Z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03F688C103444770918FD75933A7EECE</vt:lpwstr>
  </property>
</Properties>
</file>