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9D6F552">
      <w:pPr>
        <w:widowControl/>
        <w:shd w:val="clear" w:color="auto" w:fill="FFFFFF"/>
        <w:jc w:val="center"/>
        <w:rPr>
          <w:rFonts w:hint="eastAsia" w:ascii="方正小标宋简体" w:hAnsi="方正小标宋简体" w:eastAsia="方正小标宋简体" w:cs="方正小标宋简体"/>
          <w:color w:val="333333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4"/>
          <w:szCs w:val="44"/>
        </w:rPr>
        <w:t>济南市行政审批服务局202</w:t>
      </w: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color w:val="333333"/>
          <w:kern w:val="0"/>
          <w:sz w:val="44"/>
          <w:szCs w:val="44"/>
        </w:rPr>
        <w:t>年政府信息公开工作年度报告</w:t>
      </w:r>
    </w:p>
    <w:p w14:paraId="46671278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 w14:paraId="5880E2CA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本年度报告根据《中华人民共和国政府信息公开条例》相关要求编制，内容包括总体情况、主动公开政府信息情况、收到和处理政府信息公开申请情况、政府信息公开行政复议和行政诉讼情况、存在的主要问题及改进情况、其他需要报告的事项等六个部分。本年度报告中所列数据统计期限从202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年1月1日到202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年12月31日。</w:t>
      </w:r>
    </w:p>
    <w:p w14:paraId="21C9A071">
      <w:pPr>
        <w:widowControl/>
        <w:shd w:val="clear" w:color="auto" w:fill="FFFFFF"/>
        <w:ind w:firstLine="640" w:firstLineChars="20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一、总体情况</w:t>
      </w:r>
    </w:p>
    <w:p w14:paraId="3C6466AE">
      <w:pPr>
        <w:widowControl/>
        <w:shd w:val="clear" w:color="auto" w:fill="FFFFFF"/>
        <w:ind w:firstLine="640" w:firstLineChars="200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主动公开情况</w:t>
      </w:r>
    </w:p>
    <w:p w14:paraId="709224B8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2025年，通过官方网站主动公开会议信息、财政信息、建议提案等信息140条。聚焦“高效办成一件事”、工程建设项目审批制度改革等重点工作，系统规范做好《关于深化“高效办成一件事”改革塑强“在泉城·全办成”政务服务品牌的实施意见》等政策文件的多角度解读，切实提高解读服务质效。</w:t>
      </w:r>
    </w:p>
    <w:p w14:paraId="24E904A2">
      <w:pPr>
        <w:widowControl/>
        <w:shd w:val="clear" w:color="auto" w:fill="FFFFFF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14035" cy="3856990"/>
            <wp:effectExtent l="0" t="0" r="5715" b="10160"/>
            <wp:docPr id="4" name="图片 4" descr="24706b3c-ffb9-4be9-bdd1-7f88f2047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706b3c-ffb9-4be9-bdd1-7f88f2047e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0CED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（二）依申请公开情况</w:t>
      </w:r>
    </w:p>
    <w:p w14:paraId="35F8DA5D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用足用好政府信息依申请公开办理系统，优化完善政府信息公开全流程办理机制，及时会商研究疑难件，做好沟通服务和问答指导，全力帮助申请人排忧解难。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全年共受理政府信息公开申请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190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件，申请内容主要集中在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项目建设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等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领域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，依法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依规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办结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190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件。</w:t>
      </w:r>
    </w:p>
    <w:p w14:paraId="666FB625">
      <w:pPr>
        <w:widowControl/>
        <w:shd w:val="clear" w:color="auto" w:fill="FFFFFF"/>
        <w:jc w:val="center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drawing>
          <wp:inline distT="0" distB="0" distL="114300" distR="114300">
            <wp:extent cx="5267325" cy="3305175"/>
            <wp:effectExtent l="0" t="0" r="9525" b="9525"/>
            <wp:docPr id="1" name="图片 1" descr="依申请公开办理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依申请公开办理数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BEF0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政府信息管理情况</w:t>
      </w:r>
    </w:p>
    <w:p w14:paraId="09041E93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依托政策文件库，系统梳理归集行政规范性文件和其他文件，及时公开2025年工作要点、规范性文件清理结果等。创新编发高频事项“轻松办”服务指南，以“小切口”推动效能“大提升”。聚焦“高效办成一件事”改革，畅通线上受理渠道，规范准确公开业务流程图等信息，持续稳定做好国家及省定重点事项线上运行。</w:t>
      </w:r>
    </w:p>
    <w:p w14:paraId="27470D7D">
      <w:pPr>
        <w:widowControl/>
        <w:shd w:val="clear" w:color="auto" w:fill="FFFFFF"/>
        <w:jc w:val="center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048760" cy="4109720"/>
            <wp:effectExtent l="0" t="0" r="8890" b="5080"/>
            <wp:docPr id="5" name="图片 5" descr="5dbe872d-0d55-4d22-a472-922be2b1d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be872d-0d55-4d22-a472-922be2b1da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E8F1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（四）平台建设情况</w:t>
      </w:r>
    </w:p>
    <w:p w14:paraId="7FFD5183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着力做好政务新媒体矩阵运维管理，微信公众号通过一图读懂、视频指南、问答解读等活泼生动、通俗易懂的形式，常态化发布惠企政策、便民举措、新闻热点、工作动态等内容，方便企业群众及时了解审批服务、改革创新信息动态。依托微信视频号、抖音号等短视频平台，做好“在泉城·全办成”便民惠企政策直播间运行工作，会同税务、商务等有关部门，实时互动宣讲“高效办成一件事”等政策要点，完善问题建议闭环流转机制，形成政企政民“双向互动”良好局面，全年组织开展企业数据填报“一件事”政策问题解答等直播40期，积累粉丝7.07万人。</w:t>
      </w:r>
    </w:p>
    <w:p w14:paraId="67741186">
      <w:pPr>
        <w:widowControl/>
        <w:shd w:val="clear" w:color="auto" w:fill="FFFFFF"/>
        <w:jc w:val="center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2980055" cy="5690870"/>
            <wp:effectExtent l="0" t="0" r="10795" b="5080"/>
            <wp:docPr id="2" name="图片 2" descr="抖音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抖音号"/>
                    <pic:cNvPicPr>
                      <a:picLocks noChangeAspect="1"/>
                    </pic:cNvPicPr>
                  </pic:nvPicPr>
                  <pic:blipFill>
                    <a:blip r:embed="rId8"/>
                    <a:srcRect t="12119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8880">
      <w:pPr>
        <w:widowControl/>
        <w:shd w:val="clear" w:color="auto" w:fill="FFFFFF"/>
        <w:ind w:firstLine="640" w:firstLineChars="200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（五）监督保障情况</w:t>
      </w:r>
    </w:p>
    <w:p w14:paraId="69629222">
      <w:pPr>
        <w:widowControl/>
        <w:shd w:val="clear" w:color="auto" w:fill="FFFFFF"/>
        <w:ind w:firstLine="640" w:firstLineChars="20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强化网站新媒体平台规范管理，牢牢把握正确的舆论导向和以人民为中心的创作导向，落实好“三审三校”工作机制，将高标准、严要求贯穿于作品创作发布全过程。积极转发中央和省、市有关新闻动态，弘扬主旋律、传播正能量，唱响政务服务好声音。强化学习培训，通过干部学堂等平台，围绕推动新时代政务公开工作转型升级提质增效等主题，做好培训交流，不断加强政务公开能力建设。</w:t>
      </w:r>
    </w:p>
    <w:p w14:paraId="1CBAD2C6">
      <w:pPr>
        <w:widowControl/>
        <w:shd w:val="clear" w:color="auto" w:fill="FFFFFF"/>
        <w:ind w:firstLine="640" w:firstLineChars="20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二、主动公开政府信息情况</w:t>
      </w:r>
    </w:p>
    <w:tbl>
      <w:tblPr>
        <w:tblStyle w:val="7"/>
        <w:tblW w:w="990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95"/>
        <w:gridCol w:w="2435"/>
        <w:gridCol w:w="2435"/>
        <w:gridCol w:w="2435"/>
      </w:tblGrid>
      <w:tr w14:paraId="07BBEA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8BFC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第二十条第（一）项</w:t>
            </w:r>
          </w:p>
        </w:tc>
      </w:tr>
      <w:tr w14:paraId="177FB59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1F2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B1D2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本年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393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EB99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现行有效件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数</w:t>
            </w:r>
          </w:p>
        </w:tc>
      </w:tr>
      <w:tr w14:paraId="2B65B6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DF1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936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952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C6E5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</w:tr>
      <w:tr w14:paraId="7C51DF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2F7B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5B1E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E1BB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1E2E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 w14:paraId="3AD229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61A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第二十条第（五）项</w:t>
            </w:r>
          </w:p>
        </w:tc>
      </w:tr>
      <w:tr w14:paraId="16744F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DDB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617E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本年处理决定数量</w:t>
            </w:r>
          </w:p>
        </w:tc>
      </w:tr>
      <w:tr w14:paraId="45212D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FFCF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C84B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47224</w:t>
            </w:r>
          </w:p>
        </w:tc>
      </w:tr>
      <w:tr w14:paraId="6AE99A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580F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第二十条第（六）项</w:t>
            </w:r>
          </w:p>
        </w:tc>
      </w:tr>
      <w:tr w14:paraId="39539E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A47E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E4DB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本年处理决定数量</w:t>
            </w:r>
          </w:p>
        </w:tc>
      </w:tr>
      <w:tr w14:paraId="3B7431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0E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977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</w:tr>
      <w:tr w14:paraId="054053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1D0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597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</w:tr>
      <w:tr w14:paraId="1E55E2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9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CCC9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第二十条第（八）项</w:t>
            </w:r>
          </w:p>
        </w:tc>
      </w:tr>
      <w:tr w14:paraId="7377E1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7BA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F71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本年收费金额（单位：万元）</w:t>
            </w:r>
          </w:p>
        </w:tc>
      </w:tr>
      <w:tr w14:paraId="261B8B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59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E1F6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A420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</w:tr>
    </w:tbl>
    <w:p w14:paraId="44489D6F">
      <w:pPr>
        <w:widowControl/>
        <w:shd w:val="clear" w:color="auto" w:fill="FFFFFF"/>
        <w:ind w:firstLine="48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三、收到和处理政府信息公开申请情况</w:t>
      </w:r>
    </w:p>
    <w:tbl>
      <w:tblPr>
        <w:tblStyle w:val="7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1052"/>
        <w:gridCol w:w="3707"/>
        <w:gridCol w:w="604"/>
        <w:gridCol w:w="577"/>
        <w:gridCol w:w="593"/>
        <w:gridCol w:w="606"/>
        <w:gridCol w:w="708"/>
        <w:gridCol w:w="567"/>
        <w:gridCol w:w="851"/>
      </w:tblGrid>
      <w:tr w14:paraId="7B104AF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407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6A3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楷体_GB2312" w:hAnsi="黑体" w:eastAsia="楷体_GB2312"/>
                <w:kern w:val="0"/>
                <w:sz w:val="24"/>
                <w:szCs w:val="24"/>
              </w:rPr>
              <w:t>（本列数据的勾稽关系为：第一项加第二项之和，等于第三项加第四项之和）</w:t>
            </w:r>
          </w:p>
        </w:tc>
        <w:tc>
          <w:tcPr>
            <w:tcW w:w="4506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05D7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申请人情况</w:t>
            </w:r>
          </w:p>
        </w:tc>
      </w:tr>
      <w:tr w14:paraId="0181C8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5407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0F95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  <w:tc>
          <w:tcPr>
            <w:tcW w:w="604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1BAF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自然人</w:t>
            </w:r>
          </w:p>
        </w:tc>
        <w:tc>
          <w:tcPr>
            <w:tcW w:w="3051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5CC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959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总计</w:t>
            </w:r>
          </w:p>
        </w:tc>
      </w:tr>
      <w:tr w14:paraId="1E1A95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FAF6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531E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8AC3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商业企业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60F4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科研机构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C1BF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 w:right="-107" w:rightChars="-51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B7E6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6" w:leftChars="-51" w:right="-107" w:rightChars="-51" w:hanging="1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27CB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63" w:leftChars="-30" w:right="-134" w:rightChars="-64"/>
              <w:jc w:val="center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0775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</w:p>
        </w:tc>
      </w:tr>
      <w:tr w14:paraId="25491F1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E99E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本年新收政府信息公开申请数量</w:t>
            </w:r>
            <w:bookmarkEnd w:id="0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762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175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B750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865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421A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F5B3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851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2582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190</w:t>
            </w:r>
          </w:p>
        </w:tc>
      </w:tr>
      <w:tr w14:paraId="6D085D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C42F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二、上年结转政府信息公开申请数量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70B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3FE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79445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AEB8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0F454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6065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523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7A9763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E977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三、本年度办理结果</w:t>
            </w: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068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（一）予以公开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D8B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D79B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E550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B01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3B4A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B9F2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B23F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33</w:t>
            </w:r>
          </w:p>
        </w:tc>
      </w:tr>
      <w:tr w14:paraId="58F7C1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D0F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E2E3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）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91E8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36B2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037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0979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DA59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160B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1F6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53</w:t>
            </w:r>
          </w:p>
        </w:tc>
      </w:tr>
      <w:tr w14:paraId="4110B7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CF6F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A982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（三）不予公开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02E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1.属于国家秘密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C233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D4AB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866D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5F97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869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9BB6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84EF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7CFFD1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813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6508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D526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其他法律行政法规禁止公开</w:t>
            </w:r>
            <w:bookmarkEnd w:id="2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0F63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DF0A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009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6B9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809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D87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/>
                <w:sz w:val="24"/>
                <w:szCs w:val="24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3DE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73F5DF1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1F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F440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63C6D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3.危及“三安全一稳定”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59CC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009E3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ABE9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9B08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7378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264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C769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0C55B6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1016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B1C2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9CA5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保护第三方合法权益</w:t>
            </w:r>
            <w:bookmarkEnd w:id="3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384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0A20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4833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3FE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17D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9A8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5BAD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3</w:t>
            </w:r>
          </w:p>
        </w:tc>
      </w:tr>
      <w:tr w14:paraId="6789B1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161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D703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57C5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5.属于三类内部事务信息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28D2A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F013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F09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5BA9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3822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C61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D315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4129DD0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BE08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0E81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0CFD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属于四类过程性信息</w:t>
            </w:r>
            <w:bookmarkEnd w:id="4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9A87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8C9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277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91A7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2B95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C018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98A3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1B218AA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AADE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30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77CF3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7.属于行政执法案卷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B41B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50FD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1AD0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317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0F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AC76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5BF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47A385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33C7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9186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D4C9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属于行政查询事项</w:t>
            </w:r>
            <w:bookmarkEnd w:id="5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B8D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56B8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3842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760C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0BC3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8B36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7280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5</w:t>
            </w:r>
          </w:p>
        </w:tc>
      </w:tr>
      <w:tr w14:paraId="3414DE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C9FF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C9E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（四）无法提供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E484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1.本机关不掌握相关政府信息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64EB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85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B2C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6EBA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82E3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F3A0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2871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A2EA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92</w:t>
            </w:r>
          </w:p>
        </w:tc>
      </w:tr>
      <w:tr w14:paraId="47B7236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6DB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D6D5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ACA3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没有现成信息需要另行制作</w:t>
            </w:r>
            <w:bookmarkEnd w:id="6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B6A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9045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F6D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EBB1C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49AF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CB38F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5CE6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100B31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0374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A9F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9C08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补正后申请内容仍不明确</w:t>
            </w:r>
            <w:bookmarkEnd w:id="7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65F3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A01D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89CA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626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8BED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97A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F7080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5C1649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5DC8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F147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（五）不予处理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8E156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信访举报投诉类申请</w:t>
            </w:r>
            <w:bookmarkEnd w:id="8"/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D307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802C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587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1A7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689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A82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9F08D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5DF2D48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24DF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CA62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7276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2.重复申请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745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8D1B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934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5E4A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B2560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D54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13E10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4</w:t>
            </w:r>
          </w:p>
        </w:tc>
      </w:tr>
      <w:tr w14:paraId="569FFA3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C908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ACA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3F79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3.要求提供公开出版物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E67A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D65D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D70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4C3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7CB4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AB8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9142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121C51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016AE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4837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C5955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仿宋_GB2312" w:hAnsi="黑体" w:eastAsia="仿宋_GB2312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4.无正当理由大量反复申请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EC9B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878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02A2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26A0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9E0A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A2581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39CE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45D359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3BF8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9FAC3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C7D9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5.要求行政机关确认或重新出具已获取信息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7B1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4B93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34E9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10076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903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A9FF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3322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02E331E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8FAD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0765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-107" w:leftChars="-51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（六）其他处理</w:t>
            </w: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C21F6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1.申请人无正当理由逾期不补正、行政机关不再处理其政府信息公开申请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F77D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9CAA6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F9A27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7F3B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5C4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5FC47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83E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2FD7387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1060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5CE5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6AB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2.申请人逾期未按收费通知要求缴纳费用、行政机关不再处理其政府信息公开申请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B2C6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16F2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474B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1FAB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69FB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D2910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73CC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77C64F7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11D41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1052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C880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370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04B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黑体" w:eastAsia="仿宋_GB2312"/>
                <w:kern w:val="0"/>
                <w:sz w:val="24"/>
                <w:szCs w:val="24"/>
              </w:rPr>
              <w:t>3.其他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E9539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698B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2FF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9F824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0BC1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CB8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ascii="仿宋_GB2312" w:hAnsi="Times New Roman" w:eastAsia="仿宋_GB2312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8254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  <w:tr w14:paraId="5E3FF04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648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A334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sz w:val="24"/>
                <w:szCs w:val="24"/>
              </w:rPr>
            </w:pPr>
          </w:p>
        </w:tc>
        <w:tc>
          <w:tcPr>
            <w:tcW w:w="4759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CABC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（七）总计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0A33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175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6C43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82096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FB7A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05B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DB30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2FD3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default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190</w:t>
            </w:r>
          </w:p>
        </w:tc>
      </w:tr>
      <w:tr w14:paraId="186D28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jc w:val="center"/>
        </w:trPr>
        <w:tc>
          <w:tcPr>
            <w:tcW w:w="5407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6247A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textAlignment w:val="auto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四、结转下年度继续办理</w:t>
            </w:r>
          </w:p>
        </w:tc>
        <w:tc>
          <w:tcPr>
            <w:tcW w:w="604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610DB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7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643D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93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3312E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0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0873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F1A0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B8F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7641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line="260" w:lineRule="exact"/>
              <w:jc w:val="center"/>
              <w:textAlignment w:val="auto"/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 w:val="24"/>
                <w:szCs w:val="24"/>
                <w:lang w:val="en-US" w:eastAsia="zh-CN"/>
              </w:rPr>
              <w:t>0</w:t>
            </w:r>
          </w:p>
        </w:tc>
      </w:tr>
    </w:tbl>
    <w:p w14:paraId="728E392A">
      <w:pPr>
        <w:widowControl/>
        <w:shd w:val="clear" w:color="auto" w:fill="FFFFFF"/>
        <w:ind w:firstLine="48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四、政府信息公开行政复议、行政诉讼情况</w:t>
      </w:r>
    </w:p>
    <w:tbl>
      <w:tblPr>
        <w:tblStyle w:val="7"/>
        <w:tblW w:w="9902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1"/>
        <w:gridCol w:w="661"/>
      </w:tblGrid>
      <w:tr w14:paraId="774AC7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BA2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行政复议</w:t>
            </w:r>
          </w:p>
        </w:tc>
        <w:tc>
          <w:tcPr>
            <w:tcW w:w="567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B6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行政诉讼</w:t>
            </w:r>
          </w:p>
        </w:tc>
      </w:tr>
      <w:tr w14:paraId="6EC890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B8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结果维持</w:t>
            </w:r>
          </w:p>
        </w:tc>
        <w:tc>
          <w:tcPr>
            <w:tcW w:w="56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9D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56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DE2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</w:p>
        </w:tc>
        <w:tc>
          <w:tcPr>
            <w:tcW w:w="56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3E6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56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AFD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总计</w:t>
            </w:r>
          </w:p>
        </w:tc>
        <w:tc>
          <w:tcPr>
            <w:tcW w:w="56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F4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未经复议直接起诉</w:t>
            </w:r>
          </w:p>
        </w:tc>
        <w:tc>
          <w:tcPr>
            <w:tcW w:w="567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D7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复议后起诉</w:t>
            </w:r>
          </w:p>
        </w:tc>
      </w:tr>
      <w:tr w14:paraId="0A04A3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528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B5E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49C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BEE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B2B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0C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维持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4F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43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FB7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B11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总计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CF1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维持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CDC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结果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纠正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023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结果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D7F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尚未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审结</w:t>
            </w:r>
          </w:p>
        </w:tc>
        <w:tc>
          <w:tcPr>
            <w:tcW w:w="56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FF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</w:rPr>
              <w:t>总计</w:t>
            </w:r>
          </w:p>
        </w:tc>
      </w:tr>
      <w:tr w14:paraId="05A0C5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3CD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FFD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190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D9D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AA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2C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8C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E4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067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6BD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825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EAB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11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6C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 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2CF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0</w:t>
            </w:r>
            <w:bookmarkStart w:id="9" w:name="_GoBack"/>
            <w:bookmarkEnd w:id="9"/>
          </w:p>
        </w:tc>
      </w:tr>
    </w:tbl>
    <w:p w14:paraId="1382F6FD">
      <w:pPr>
        <w:widowControl/>
        <w:shd w:val="clear" w:color="auto" w:fill="FFFFFF"/>
        <w:ind w:firstLine="48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五、存在的主要问题及改进情况</w:t>
      </w:r>
    </w:p>
    <w:p w14:paraId="5E7E7ADB">
      <w:pPr>
        <w:widowControl/>
        <w:shd w:val="clear" w:color="auto" w:fill="FFFFFF"/>
        <w:ind w:firstLine="480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2025年，济南市行政审批服务局在政府信息公开方面取得了一些成绩，但也存在诸多不足，主要表现在：一是政策解读内容及形式不够丰富，缺少特色亮点；二是网站新媒体发布信息创新性不足，吸引力不够强。</w:t>
      </w:r>
    </w:p>
    <w:p w14:paraId="4AB33ED9">
      <w:pPr>
        <w:widowControl/>
        <w:shd w:val="clear" w:color="auto" w:fill="FFFFFF"/>
        <w:ind w:firstLine="480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下一步，将着重做好以下工作：一是提高解读质量，充分利用短视频、直播、长图等多样形式，围绕企业注册登记等高频服务做好多形式、多角度解读，提升便民利企服务水平；二是强化网站新媒体内容建设，强化本地化内容建设，紧密围绕企业群众关心关注的热点政策、服务指南等进行策划报道，创新发布形式，增强用户粘性和归属感；三是强化互动参与，依托网站新媒体平台，融合智惠导服、智享地图、轻松办指南等功能于一体，为市民群众提供“7×24小时”“人工+智能”实时办事咨询导办服务，让群众办事咨询更方便快捷。</w:t>
      </w:r>
    </w:p>
    <w:p w14:paraId="2F3D31D6">
      <w:pPr>
        <w:widowControl/>
        <w:shd w:val="clear" w:color="auto" w:fill="FFFFFF"/>
        <w:ind w:firstLine="480"/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333333"/>
          <w:kern w:val="0"/>
          <w:sz w:val="32"/>
          <w:szCs w:val="32"/>
        </w:rPr>
        <w:t>六、其他需要报告的事项</w:t>
      </w:r>
    </w:p>
    <w:p w14:paraId="368C656A">
      <w:pPr>
        <w:widowControl/>
        <w:shd w:val="clear" w:color="auto" w:fill="FFFFFF"/>
        <w:ind w:firstLine="48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（一）依据《政府信息公开信息处理费管理办法》收取信息处理费的情况：无。</w:t>
      </w:r>
    </w:p>
    <w:p w14:paraId="64CC16D2">
      <w:pPr>
        <w:widowControl/>
        <w:shd w:val="clear" w:color="auto" w:fill="FFFFFF"/>
        <w:ind w:firstLine="48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（二）本行政机关落实上级年度政务公开工作要点情况：</w:t>
      </w:r>
    </w:p>
    <w:p w14:paraId="7A9D6F68">
      <w:pPr>
        <w:widowControl/>
        <w:shd w:val="clear" w:color="auto" w:fill="FFFFFF"/>
        <w:ind w:firstLine="48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一是提高政务公开工作标准。建强建好政务新媒体，打造线上线下政务公开主阵地，抖音号发布作品110条，视频号发布作品130条，积极组织开展惠企政策解读直播，公众号积累粉丝8.1万人，依托政务公开专区解答群众咨询200余件。二是深化政企政民互动交流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升级打造“泉惠企”平台，为企业提供政策服务、诉求服务、供需服务，优化提升150家企业服务站，惠及企业4000余家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供需对接服务平台发布产品1万余件，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持续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推进惠企政策“直达快享”。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三是提升政务公开服务质效。推进政务公开和政务服务深度融合，抓好网站“一件事”专区规范运行，动态更新办事指南等信息，强化宣传解读，畅通沟通渠道，充实优化“智惠导服”知识库，提升智能答复、衍生服务水平。</w:t>
      </w:r>
    </w:p>
    <w:p w14:paraId="698E4642">
      <w:pPr>
        <w:widowControl/>
        <w:shd w:val="clear" w:color="auto" w:fill="FFFFFF"/>
        <w:jc w:val="left"/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03240" cy="2798445"/>
            <wp:effectExtent l="0" t="0" r="16510" b="1905"/>
            <wp:docPr id="3" name="图片 3" descr="659308fb-e7d0-412e-910d-38ac4ad4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9308fb-e7d0-412e-910d-38ac4ad43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FAD7">
      <w:pPr>
        <w:widowControl/>
        <w:shd w:val="clear" w:color="auto" w:fill="FFFFFF"/>
        <w:ind w:firstLine="48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）本行政机关人大代表建议和政协提案办理结果公开情况：202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年，共承办人大代表建议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件，其中分办2件（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已公开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）、会办1件（由主办单位负责公开）；承办政协提案1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件，其中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主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办1件（已公开）、分办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件（已公开）、会办1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件（由主办单位负责公开）、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val="en-US" w:eastAsia="zh-CN"/>
        </w:rPr>
        <w:t>参考2件</w:t>
      </w: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lang w:eastAsia="zh-CN"/>
        </w:rPr>
        <w:t>。上述建议提案均已办结，满意率100%，主要内容涵盖优化营商环境、行政审批事项、惠企政策落实、经济社会高质量发展等相关领域。</w:t>
      </w:r>
    </w:p>
    <w:p w14:paraId="00C3CC49">
      <w:pPr>
        <w:widowControl/>
        <w:shd w:val="clear" w:color="auto" w:fill="FFFFFF"/>
        <w:ind w:firstLine="480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FBFCD">
    <w:pPr>
      <w:pStyle w:val="4"/>
      <w:jc w:val="center"/>
      <w:rPr>
        <w:rFonts w:ascii="宋体" w:hAnsi="宋体" w:eastAsia="宋体"/>
        <w:sz w:val="28"/>
        <w:szCs w:val="28"/>
      </w:rPr>
    </w:pPr>
    <w:sdt>
      <w:sdtPr>
        <w:rPr>
          <w:rFonts w:ascii="宋体" w:hAnsi="宋体" w:eastAsia="宋体"/>
          <w:sz w:val="28"/>
          <w:szCs w:val="28"/>
        </w:rPr>
        <w:id w:val="-970817728"/>
        <w:docPartObj>
          <w:docPartGallery w:val="autotext"/>
        </w:docPartObj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sdtContent>
    </w:sdt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yY2Y5Y2UxZjkwY2NiYzg1MTM4ZmQzOTFhYWJhY2IifQ=="/>
  </w:docVars>
  <w:rsids>
    <w:rsidRoot w:val="00502C34"/>
    <w:rsid w:val="0003350B"/>
    <w:rsid w:val="000456E4"/>
    <w:rsid w:val="000500B1"/>
    <w:rsid w:val="0006512C"/>
    <w:rsid w:val="000A57BF"/>
    <w:rsid w:val="000B4F9F"/>
    <w:rsid w:val="000C1FDA"/>
    <w:rsid w:val="00121655"/>
    <w:rsid w:val="00123E53"/>
    <w:rsid w:val="0015613D"/>
    <w:rsid w:val="001679FF"/>
    <w:rsid w:val="00180B4F"/>
    <w:rsid w:val="00182648"/>
    <w:rsid w:val="00195385"/>
    <w:rsid w:val="00196721"/>
    <w:rsid w:val="001A2CC0"/>
    <w:rsid w:val="001E3A4B"/>
    <w:rsid w:val="001F026B"/>
    <w:rsid w:val="00203F15"/>
    <w:rsid w:val="00211F6A"/>
    <w:rsid w:val="002338C1"/>
    <w:rsid w:val="00243BAF"/>
    <w:rsid w:val="00254F2B"/>
    <w:rsid w:val="002713F8"/>
    <w:rsid w:val="00280894"/>
    <w:rsid w:val="00286BF3"/>
    <w:rsid w:val="002B58BB"/>
    <w:rsid w:val="00315DDF"/>
    <w:rsid w:val="00333740"/>
    <w:rsid w:val="00372E47"/>
    <w:rsid w:val="00384B12"/>
    <w:rsid w:val="00392DAD"/>
    <w:rsid w:val="003C1943"/>
    <w:rsid w:val="003F2D15"/>
    <w:rsid w:val="004162E7"/>
    <w:rsid w:val="00463EF5"/>
    <w:rsid w:val="00464CBD"/>
    <w:rsid w:val="0047087D"/>
    <w:rsid w:val="004D3C2B"/>
    <w:rsid w:val="004D6D24"/>
    <w:rsid w:val="004F0AC0"/>
    <w:rsid w:val="00502C34"/>
    <w:rsid w:val="00515416"/>
    <w:rsid w:val="00515E7C"/>
    <w:rsid w:val="00516159"/>
    <w:rsid w:val="00531FBB"/>
    <w:rsid w:val="00552F1D"/>
    <w:rsid w:val="005548EB"/>
    <w:rsid w:val="00557891"/>
    <w:rsid w:val="00612182"/>
    <w:rsid w:val="00621506"/>
    <w:rsid w:val="00633C9D"/>
    <w:rsid w:val="00683E94"/>
    <w:rsid w:val="00690467"/>
    <w:rsid w:val="006B5301"/>
    <w:rsid w:val="006E2A67"/>
    <w:rsid w:val="00760120"/>
    <w:rsid w:val="00772B24"/>
    <w:rsid w:val="007A05F9"/>
    <w:rsid w:val="007E43CD"/>
    <w:rsid w:val="0081582B"/>
    <w:rsid w:val="008244CB"/>
    <w:rsid w:val="00846109"/>
    <w:rsid w:val="00851E51"/>
    <w:rsid w:val="008642AF"/>
    <w:rsid w:val="008C156F"/>
    <w:rsid w:val="008C68B1"/>
    <w:rsid w:val="008D6835"/>
    <w:rsid w:val="008F1CD7"/>
    <w:rsid w:val="00923DE3"/>
    <w:rsid w:val="00940F82"/>
    <w:rsid w:val="009674B5"/>
    <w:rsid w:val="00990BC0"/>
    <w:rsid w:val="00993A11"/>
    <w:rsid w:val="009D1EAC"/>
    <w:rsid w:val="00A565B0"/>
    <w:rsid w:val="00A9562B"/>
    <w:rsid w:val="00AC0838"/>
    <w:rsid w:val="00AC0B55"/>
    <w:rsid w:val="00B0360E"/>
    <w:rsid w:val="00B06CEF"/>
    <w:rsid w:val="00B20E9B"/>
    <w:rsid w:val="00B56B27"/>
    <w:rsid w:val="00B82BD5"/>
    <w:rsid w:val="00B846A3"/>
    <w:rsid w:val="00BA1959"/>
    <w:rsid w:val="00BB1402"/>
    <w:rsid w:val="00BD1F13"/>
    <w:rsid w:val="00BD2DFA"/>
    <w:rsid w:val="00BE7C3A"/>
    <w:rsid w:val="00BF2FF7"/>
    <w:rsid w:val="00C106D4"/>
    <w:rsid w:val="00C24C5F"/>
    <w:rsid w:val="00C62BE4"/>
    <w:rsid w:val="00C74995"/>
    <w:rsid w:val="00C914DE"/>
    <w:rsid w:val="00CA2A1F"/>
    <w:rsid w:val="00CE332F"/>
    <w:rsid w:val="00D206E1"/>
    <w:rsid w:val="00DD7168"/>
    <w:rsid w:val="00DF3523"/>
    <w:rsid w:val="00DF7D80"/>
    <w:rsid w:val="00EB4A6E"/>
    <w:rsid w:val="00ED6874"/>
    <w:rsid w:val="00ED698F"/>
    <w:rsid w:val="00EE7943"/>
    <w:rsid w:val="00F01622"/>
    <w:rsid w:val="00F03027"/>
    <w:rsid w:val="00F42818"/>
    <w:rsid w:val="00F4648D"/>
    <w:rsid w:val="00F57A9C"/>
    <w:rsid w:val="00F7173D"/>
    <w:rsid w:val="00F86564"/>
    <w:rsid w:val="00F90155"/>
    <w:rsid w:val="00FC01CB"/>
    <w:rsid w:val="00FD5729"/>
    <w:rsid w:val="00FF1856"/>
    <w:rsid w:val="00FF3FF5"/>
    <w:rsid w:val="00FF65C3"/>
    <w:rsid w:val="08F910A6"/>
    <w:rsid w:val="0D703FC3"/>
    <w:rsid w:val="0D7E609A"/>
    <w:rsid w:val="19E83F82"/>
    <w:rsid w:val="1C835FD3"/>
    <w:rsid w:val="1D6522EC"/>
    <w:rsid w:val="283852AB"/>
    <w:rsid w:val="298D6C89"/>
    <w:rsid w:val="2B816B9D"/>
    <w:rsid w:val="32F4461D"/>
    <w:rsid w:val="35DB4BD9"/>
    <w:rsid w:val="3C787E8C"/>
    <w:rsid w:val="3EC94743"/>
    <w:rsid w:val="4294081E"/>
    <w:rsid w:val="45FE72BB"/>
    <w:rsid w:val="49EB4394"/>
    <w:rsid w:val="50465971"/>
    <w:rsid w:val="53043944"/>
    <w:rsid w:val="57D328AB"/>
    <w:rsid w:val="58AD06FE"/>
    <w:rsid w:val="601C5E1C"/>
    <w:rsid w:val="6239723B"/>
    <w:rsid w:val="638D1F52"/>
    <w:rsid w:val="650F16D6"/>
    <w:rsid w:val="66C20FDD"/>
    <w:rsid w:val="6A366C68"/>
    <w:rsid w:val="6C0E1342"/>
    <w:rsid w:val="6C3D6102"/>
    <w:rsid w:val="6E987907"/>
    <w:rsid w:val="6FED4A6D"/>
    <w:rsid w:val="7064594A"/>
    <w:rsid w:val="70EE2075"/>
    <w:rsid w:val="75234C08"/>
    <w:rsid w:val="76067942"/>
    <w:rsid w:val="7E83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FollowedHyperlink"/>
    <w:basedOn w:val="8"/>
    <w:autoRedefine/>
    <w:unhideWhenUsed/>
    <w:qFormat/>
    <w:uiPriority w:val="99"/>
    <w:rPr>
      <w:color w:val="337AB7"/>
      <w:u w:val="single"/>
    </w:rPr>
  </w:style>
  <w:style w:type="character" w:styleId="11">
    <w:name w:val="HTML Definition"/>
    <w:basedOn w:val="8"/>
    <w:autoRedefine/>
    <w:unhideWhenUsed/>
    <w:qFormat/>
    <w:uiPriority w:val="99"/>
    <w:rPr>
      <w:i/>
    </w:rPr>
  </w:style>
  <w:style w:type="character" w:styleId="12">
    <w:name w:val="Hyperlink"/>
    <w:basedOn w:val="8"/>
    <w:autoRedefine/>
    <w:unhideWhenUsed/>
    <w:qFormat/>
    <w:uiPriority w:val="99"/>
    <w:rPr>
      <w:color w:val="337AB7"/>
      <w:u w:val="single"/>
    </w:rPr>
  </w:style>
  <w:style w:type="character" w:styleId="13">
    <w:name w:val="HTML Code"/>
    <w:basedOn w:val="8"/>
    <w:autoRedefine/>
    <w:unhideWhenUsed/>
    <w:qFormat/>
    <w:uiPriority w:val="99"/>
    <w:rPr>
      <w:rFonts w:ascii="Menlo" w:hAnsi="Menlo" w:eastAsia="Menlo" w:cs="Menlo"/>
      <w:color w:val="C7254E"/>
      <w:sz w:val="21"/>
      <w:szCs w:val="21"/>
      <w:shd w:val="clear" w:color="auto" w:fill="F9F2F4"/>
    </w:rPr>
  </w:style>
  <w:style w:type="character" w:styleId="14">
    <w:name w:val="HTML Keyboard"/>
    <w:basedOn w:val="8"/>
    <w:autoRedefine/>
    <w:unhideWhenUsed/>
    <w:qFormat/>
    <w:uiPriority w:val="99"/>
    <w:rPr>
      <w:rFonts w:hint="default" w:ascii="Menlo" w:hAnsi="Menlo" w:eastAsia="Menlo" w:cs="Menlo"/>
      <w:color w:val="FFFFFF"/>
      <w:sz w:val="21"/>
      <w:szCs w:val="21"/>
      <w:shd w:val="clear" w:color="auto" w:fill="333333"/>
    </w:rPr>
  </w:style>
  <w:style w:type="character" w:styleId="15">
    <w:name w:val="HTML Sample"/>
    <w:basedOn w:val="8"/>
    <w:autoRedefine/>
    <w:unhideWhenUsed/>
    <w:qFormat/>
    <w:uiPriority w:val="99"/>
    <w:rPr>
      <w:rFonts w:hint="default" w:ascii="Menlo" w:hAnsi="Menlo" w:eastAsia="Menlo" w:cs="Menlo"/>
      <w:sz w:val="21"/>
      <w:szCs w:val="21"/>
    </w:rPr>
  </w:style>
  <w:style w:type="character" w:customStyle="1" w:styleId="16">
    <w:name w:val="页眉 字符"/>
    <w:basedOn w:val="8"/>
    <w:link w:val="5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8">
    <w:name w:val="标题 1 字符"/>
    <w:basedOn w:val="8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2806</Words>
  <Characters>2897</Characters>
  <Lines>20</Lines>
  <Paragraphs>5</Paragraphs>
  <TotalTime>4</TotalTime>
  <ScaleCrop>false</ScaleCrop>
  <LinksUpToDate>false</LinksUpToDate>
  <CharactersWithSpaces>2911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2021-12-20T05:58:00Z</dcterms:created>
  <dc:creator>qiyuanhua0168@163.com</dc:creator>
  <cp:lastModifiedBy>王圣军</cp:lastModifiedBy>
  <cp:lastPrinted>2021-12-06T01:42:00Z</cp:lastPrinted>
  <dcterms:modified xsi:type="dcterms:W3CDTF">2026-01-21T09:00:15Z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06E2B5C2D00449A4B40BA9FCEA16BBE2_13</vt:lpwstr>
  </property>
  <property fmtid="{D5CDD505-2E9C-101B-9397-08002B2CF9AE}" pid="4" name="KSOTemplateDocerSaveRecord">
    <vt:lpwstr>eyJoZGlkIjoiODMzOTU1ZjJmNTc3ZDAzYWM3ZGM0MmU2YmRhOThlOWIiLCJ1c2VySWQiOiIxNDgzMzAzNTU0In0=</vt:lpwstr>
  </property>
</Properties>
</file>