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C18A4">
      <w:pPr>
        <w:keepNext w:val="0"/>
        <w:keepLines w:val="0"/>
        <w:pageBreakBefore w:val="0"/>
        <w:widowControl w:val="0"/>
        <w:kinsoku w:val="0"/>
        <w:wordWrap/>
        <w:overflowPunct w:val="0"/>
        <w:topLinePunct w:val="0"/>
        <w:autoSpaceDE/>
        <w:autoSpaceDN/>
        <w:bidi w:val="0"/>
        <w:adjustRightInd/>
        <w:snapToGrid/>
        <w:spacing w:before="155" w:line="540" w:lineRule="exact"/>
        <w:jc w:val="center"/>
        <w:textAlignment w:val="auto"/>
        <w:rPr>
          <w:rFonts w:ascii="方正小标宋简体" w:hAnsi="方正小标宋简体" w:eastAsia="方正小标宋简体" w:cs="方正小标宋简体"/>
          <w:spacing w:val="-1"/>
          <w:sz w:val="44"/>
          <w:szCs w:val="44"/>
        </w:rPr>
      </w:pPr>
      <w:r>
        <w:rPr>
          <w:rFonts w:hint="eastAsia" w:ascii="方正小标宋简体" w:hAnsi="方正小标宋简体" w:eastAsia="方正小标宋简体" w:cs="方正小标宋简体"/>
          <w:spacing w:val="-1"/>
          <w:sz w:val="44"/>
          <w:szCs w:val="44"/>
          <w:lang w:val="en-US" w:eastAsia="zh-CN"/>
        </w:rPr>
        <w:t>建设工程规划许可</w:t>
      </w:r>
      <w:r>
        <w:rPr>
          <w:rFonts w:ascii="方正小标宋简体" w:hAnsi="方正小标宋简体" w:eastAsia="方正小标宋简体" w:cs="方正小标宋简体"/>
          <w:spacing w:val="-1"/>
          <w:sz w:val="44"/>
          <w:szCs w:val="44"/>
        </w:rPr>
        <w:t>“一件事”办事指南</w:t>
      </w:r>
    </w:p>
    <w:p w14:paraId="3DA0323A">
      <w:pPr>
        <w:keepNext w:val="0"/>
        <w:keepLines w:val="0"/>
        <w:pageBreakBefore w:val="0"/>
        <w:widowControl w:val="0"/>
        <w:kinsoku w:val="0"/>
        <w:wordWrap/>
        <w:overflowPunct w:val="0"/>
        <w:topLinePunct w:val="0"/>
        <w:autoSpaceDE/>
        <w:autoSpaceDN/>
        <w:bidi w:val="0"/>
        <w:adjustRightInd/>
        <w:snapToGrid/>
        <w:spacing w:before="155" w:line="540" w:lineRule="exact"/>
        <w:jc w:val="center"/>
        <w:textAlignment w:val="auto"/>
        <w:rPr>
          <w:rFonts w:ascii="方正小标宋简体" w:hAnsi="方正小标宋简体" w:eastAsia="方正小标宋简体" w:cs="方正小标宋简体"/>
          <w:spacing w:val="-1"/>
          <w:sz w:val="44"/>
          <w:szCs w:val="44"/>
        </w:rPr>
      </w:pPr>
    </w:p>
    <w:p w14:paraId="0D2AE93B">
      <w:pPr>
        <w:keepNext w:val="0"/>
        <w:keepLines w:val="0"/>
        <w:pageBreakBefore w:val="0"/>
        <w:widowControl w:val="0"/>
        <w:kinsoku/>
        <w:wordWrap/>
        <w:overflowPunct/>
        <w:topLinePunct w:val="0"/>
        <w:autoSpaceDE/>
        <w:autoSpaceDN/>
        <w:bidi w:val="0"/>
        <w:adjustRightInd/>
        <w:snapToGrid/>
        <w:spacing w:line="540" w:lineRule="exact"/>
        <w:ind w:left="672"/>
        <w:textAlignment w:val="auto"/>
        <w:rPr>
          <w:rFonts w:ascii="黑体" w:hAnsi="黑体" w:eastAsia="黑体" w:cs="黑体"/>
          <w:sz w:val="31"/>
          <w:szCs w:val="31"/>
        </w:rPr>
      </w:pPr>
      <w:r>
        <w:rPr>
          <w:rFonts w:ascii="黑体" w:hAnsi="黑体" w:eastAsia="黑体" w:cs="黑体"/>
          <w:spacing w:val="5"/>
          <w:sz w:val="31"/>
          <w:szCs w:val="31"/>
        </w:rPr>
        <w:t>一、事项名称</w:t>
      </w:r>
    </w:p>
    <w:p w14:paraId="241E72E7">
      <w:pPr>
        <w:keepNext w:val="0"/>
        <w:keepLines w:val="0"/>
        <w:pageBreakBefore w:val="0"/>
        <w:widowControl w:val="0"/>
        <w:kinsoku/>
        <w:wordWrap/>
        <w:overflowPunct/>
        <w:topLinePunct w:val="0"/>
        <w:autoSpaceDE/>
        <w:autoSpaceDN/>
        <w:bidi w:val="0"/>
        <w:adjustRightInd/>
        <w:snapToGrid/>
        <w:spacing w:line="540" w:lineRule="exact"/>
        <w:ind w:left="666"/>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建设工程规划许可“一件事”</w:t>
      </w:r>
    </w:p>
    <w:p w14:paraId="67568029">
      <w:pPr>
        <w:keepNext w:val="0"/>
        <w:keepLines w:val="0"/>
        <w:pageBreakBefore w:val="0"/>
        <w:widowControl w:val="0"/>
        <w:kinsoku/>
        <w:wordWrap/>
        <w:overflowPunct/>
        <w:topLinePunct w:val="0"/>
        <w:autoSpaceDE/>
        <w:autoSpaceDN/>
        <w:bidi w:val="0"/>
        <w:adjustRightInd/>
        <w:snapToGrid/>
        <w:spacing w:line="540" w:lineRule="exact"/>
        <w:ind w:left="672"/>
        <w:textAlignment w:val="auto"/>
        <w:rPr>
          <w:rFonts w:ascii="黑体" w:hAnsi="黑体" w:eastAsia="黑体" w:cs="黑体"/>
          <w:sz w:val="31"/>
          <w:szCs w:val="31"/>
        </w:rPr>
      </w:pPr>
      <w:r>
        <w:rPr>
          <w:rFonts w:ascii="黑体" w:hAnsi="黑体" w:eastAsia="黑体" w:cs="黑体"/>
          <w:spacing w:val="6"/>
          <w:sz w:val="31"/>
          <w:szCs w:val="31"/>
        </w:rPr>
        <w:t>二、</w:t>
      </w:r>
      <w:r>
        <w:rPr>
          <w:rFonts w:hint="eastAsia" w:ascii="黑体" w:hAnsi="黑体" w:eastAsia="黑体" w:cs="黑体"/>
          <w:spacing w:val="6"/>
          <w:sz w:val="31"/>
          <w:szCs w:val="31"/>
          <w:lang w:val="en-US" w:eastAsia="zh-CN"/>
        </w:rPr>
        <w:t>联办</w:t>
      </w:r>
      <w:r>
        <w:rPr>
          <w:rFonts w:ascii="黑体" w:hAnsi="黑体" w:eastAsia="黑体" w:cs="黑体"/>
          <w:spacing w:val="6"/>
          <w:sz w:val="31"/>
          <w:szCs w:val="31"/>
        </w:rPr>
        <w:t>事项</w:t>
      </w:r>
    </w:p>
    <w:p w14:paraId="249EFB8C">
      <w:pPr>
        <w:pStyle w:val="6"/>
        <w:keepNext w:val="0"/>
        <w:keepLines w:val="0"/>
        <w:pageBreakBefore w:val="0"/>
        <w:widowControl w:val="0"/>
        <w:kinsoku/>
        <w:wordWrap/>
        <w:overflowPunct/>
        <w:topLinePunct w:val="0"/>
        <w:bidi w:val="0"/>
        <w:snapToGrid/>
        <w:spacing w:line="540" w:lineRule="exact"/>
        <w:ind w:firstLine="620" w:firstLineChars="200"/>
        <w:rPr>
          <w:rFonts w:hint="eastAsia" w:ascii="仿宋_GB2312" w:hAnsi="仿宋_GB2312" w:eastAsia="仿宋_GB2312" w:cs="仿宋_GB2312"/>
          <w:color w:val="auto"/>
          <w:kern w:val="2"/>
          <w:sz w:val="31"/>
          <w:szCs w:val="31"/>
          <w:lang w:val="en-US" w:eastAsia="zh-CN" w:bidi="ar-SA"/>
        </w:rPr>
      </w:pPr>
      <w:r>
        <w:rPr>
          <w:rFonts w:hint="eastAsia" w:ascii="仿宋_GB2312" w:hAnsi="仿宋_GB2312" w:eastAsia="仿宋_GB2312" w:cs="仿宋_GB2312"/>
          <w:color w:val="auto"/>
          <w:kern w:val="2"/>
          <w:sz w:val="31"/>
          <w:szCs w:val="31"/>
          <w:lang w:val="en-US" w:eastAsia="zh-CN" w:bidi="ar-SA"/>
        </w:rPr>
        <w:t>企业投资项目备案（社会投资简易低风险项目）、建设工程规划许可证、房建类项目海绵城市建设要求、供气设施设计审核、供热设施设计审核、涉及国家安全事项的建设项目审批、电气工程设计规范要求审核、</w:t>
      </w:r>
      <w:r>
        <w:rPr>
          <w:rFonts w:hint="eastAsia" w:ascii="FangSong_GB2312" w:eastAsia="FangSong_GB2312"/>
          <w:sz w:val="32"/>
          <w:szCs w:val="32"/>
          <w:highlight w:val="none"/>
          <w:lang w:eastAsia="zh-CN"/>
        </w:rPr>
        <w:t>结合民用建筑修建放空地下室建设条件审批</w:t>
      </w:r>
      <w:r>
        <w:rPr>
          <w:rFonts w:hint="eastAsia" w:ascii="FangSong_GB2312" w:eastAsia="FangSong_GB2312"/>
          <w:sz w:val="32"/>
          <w:szCs w:val="32"/>
          <w:highlight w:val="none"/>
        </w:rPr>
        <w:t>，防空地下室易地建设审批，兼顾人民防空需要建设条件审批，</w:t>
      </w:r>
      <w:r>
        <w:rPr>
          <w:rFonts w:hint="eastAsia" w:ascii="仿宋_GB2312" w:hAnsi="仿宋_GB2312" w:eastAsia="仿宋_GB2312" w:cs="仿宋_GB2312"/>
          <w:color w:val="auto"/>
          <w:kern w:val="2"/>
          <w:sz w:val="31"/>
          <w:szCs w:val="31"/>
          <w:lang w:val="en-US" w:eastAsia="zh-CN" w:bidi="ar-SA"/>
        </w:rPr>
        <w:t>因工程建设需要拆除、改动、迁移供水、排水与污水处理设施审批、新建扩建改建工程节水设施设计方案审核、取水许可、生产建设项目水土保持方案审批、城区建设项目配套环卫设施设计审查、城市建筑垃圾处置核准、建设工程抗震设防要求确定、通信服务审批、交通影响（出入口）审核、物业服务用房配置设计方案审核、社区综合服务设施用房设计规范要求审核、供水设施设计审核、市政设施建设类审批、大型建筑物、居民区命名审批、门楼牌核准、有线电视安装配套设计。</w:t>
      </w:r>
    </w:p>
    <w:p w14:paraId="5C65D7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4" w:firstLineChars="200"/>
        <w:textAlignment w:val="auto"/>
        <w:rPr>
          <w:rFonts w:hint="default"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三、设定依据</w:t>
      </w:r>
    </w:p>
    <w:p w14:paraId="4D6A2186">
      <w:pPr>
        <w:pStyle w:val="6"/>
        <w:keepNext w:val="0"/>
        <w:keepLines w:val="0"/>
        <w:pageBreakBefore w:val="0"/>
        <w:widowControl w:val="0"/>
        <w:kinsoku/>
        <w:wordWrap/>
        <w:overflowPunct/>
        <w:topLinePunct w:val="0"/>
        <w:bidi w:val="0"/>
        <w:snapToGrid/>
        <w:spacing w:line="54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1.国务院办公厅关于全面开展工程建设项目审批制度改革的实施意见（国办发〔2019〕11号）</w:t>
      </w:r>
    </w:p>
    <w:p w14:paraId="0C5475F9">
      <w:pPr>
        <w:pStyle w:val="6"/>
        <w:keepNext w:val="0"/>
        <w:keepLines w:val="0"/>
        <w:pageBreakBefore w:val="0"/>
        <w:widowControl w:val="0"/>
        <w:kinsoku/>
        <w:wordWrap/>
        <w:overflowPunct/>
        <w:topLinePunct w:val="0"/>
        <w:bidi w:val="0"/>
        <w:snapToGrid/>
        <w:spacing w:line="54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2.关于印发山东省工程建设项目审批制度改革行动方案的通知（鲁政办字〔2018〕184号）</w:t>
      </w:r>
    </w:p>
    <w:p w14:paraId="577903BA">
      <w:pPr>
        <w:pStyle w:val="6"/>
        <w:keepNext w:val="0"/>
        <w:keepLines w:val="0"/>
        <w:pageBreakBefore w:val="0"/>
        <w:widowControl w:val="0"/>
        <w:kinsoku/>
        <w:wordWrap/>
        <w:overflowPunct/>
        <w:topLinePunct w:val="0"/>
        <w:bidi w:val="0"/>
        <w:snapToGrid/>
        <w:spacing w:line="540" w:lineRule="exact"/>
        <w:ind w:firstLine="640" w:firstLineChars="200"/>
        <w:rPr>
          <w:rFonts w:hint="eastAsia" w:ascii="仿宋_GB2312" w:hAnsi="仿宋_GB2312" w:eastAsia="仿宋_GB2312" w:cs="仿宋_GB2312"/>
          <w:color w:val="auto"/>
          <w:kern w:val="2"/>
          <w:sz w:val="31"/>
          <w:szCs w:val="31"/>
          <w:lang w:val="en-US" w:eastAsia="zh-CN" w:bidi="ar-SA"/>
        </w:rPr>
      </w:pPr>
      <w:r>
        <w:rPr>
          <w:rFonts w:hint="eastAsia" w:ascii="仿宋_GB2312" w:hAnsi="仿宋_GB2312" w:eastAsia="仿宋_GB2312" w:cs="仿宋_GB2312"/>
          <w:color w:val="auto"/>
          <w:kern w:val="2"/>
          <w:sz w:val="32"/>
          <w:szCs w:val="32"/>
          <w:lang w:val="en-US" w:eastAsia="zh-CN" w:bidi="ar-SA"/>
        </w:rPr>
        <w:t>3.关于印发济南市工程建设项目审批制度改革实施方案的通知（济政发〔2019〕12号）</w:t>
      </w:r>
    </w:p>
    <w:p w14:paraId="58B43AD2">
      <w:pPr>
        <w:keepNext w:val="0"/>
        <w:keepLines w:val="0"/>
        <w:pageBreakBefore w:val="0"/>
        <w:widowControl w:val="0"/>
        <w:kinsoku/>
        <w:wordWrap/>
        <w:overflowPunct/>
        <w:topLinePunct w:val="0"/>
        <w:autoSpaceDE/>
        <w:autoSpaceDN/>
        <w:bidi w:val="0"/>
        <w:adjustRightInd/>
        <w:snapToGrid/>
        <w:spacing w:line="540" w:lineRule="exact"/>
        <w:ind w:left="673"/>
        <w:textAlignment w:val="auto"/>
        <w:rPr>
          <w:rFonts w:hint="eastAsia"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四、实施机构</w:t>
      </w:r>
    </w:p>
    <w:p w14:paraId="4AE3EB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济南市行政审批服务局、济南市自然资源和规划局、济南市住房和城乡建设局、</w:t>
      </w:r>
      <w:r>
        <w:rPr>
          <w:rFonts w:hint="eastAsia" w:ascii="仿宋_GB2312" w:hAnsi="仿宋_GB2312" w:eastAsia="仿宋_GB2312" w:cs="仿宋_GB2312"/>
          <w:kern w:val="2"/>
          <w:sz w:val="32"/>
          <w:szCs w:val="32"/>
          <w:lang w:val="en-US" w:eastAsia="zh-CN" w:bidi="ar-SA"/>
        </w:rPr>
        <w:t>济南市城市管理局、</w:t>
      </w:r>
      <w:r>
        <w:rPr>
          <w:rFonts w:hint="default" w:ascii="仿宋_GB2312" w:hAnsi="仿宋_GB2312" w:eastAsia="仿宋_GB2312" w:cs="仿宋_GB2312"/>
          <w:kern w:val="2"/>
          <w:sz w:val="32"/>
          <w:szCs w:val="32"/>
          <w:lang w:val="en-US" w:eastAsia="zh-CN" w:bidi="ar-SA"/>
        </w:rPr>
        <w:t>济南市城乡水务局、济南市国家安全局、</w:t>
      </w:r>
      <w:r>
        <w:rPr>
          <w:rFonts w:hint="eastAsia" w:ascii="仿宋_GB2312" w:hAnsi="仿宋_GB2312" w:eastAsia="仿宋_GB2312" w:cs="仿宋_GB2312"/>
          <w:kern w:val="2"/>
          <w:sz w:val="32"/>
          <w:szCs w:val="32"/>
          <w:lang w:val="en-US" w:eastAsia="zh-CN" w:bidi="ar-SA"/>
        </w:rPr>
        <w:t>国网济南供电公司、国网莱芜供电公司、</w:t>
      </w:r>
      <w:r>
        <w:rPr>
          <w:rFonts w:hint="default" w:ascii="仿宋_GB2312" w:hAnsi="仿宋_GB2312" w:eastAsia="仿宋_GB2312" w:cs="仿宋_GB2312"/>
          <w:kern w:val="2"/>
          <w:sz w:val="32"/>
          <w:szCs w:val="32"/>
          <w:lang w:val="en-US" w:eastAsia="zh-CN" w:bidi="ar-SA"/>
        </w:rPr>
        <w:t>济南水务集团有限公司、</w:t>
      </w:r>
      <w:r>
        <w:rPr>
          <w:rFonts w:hint="eastAsia" w:ascii="仿宋_GB2312" w:hAnsi="仿宋_GB2312" w:eastAsia="仿宋_GB2312" w:cs="仿宋_GB2312"/>
          <w:kern w:val="2"/>
          <w:sz w:val="32"/>
          <w:szCs w:val="32"/>
          <w:lang w:val="en-US" w:eastAsia="zh-CN" w:bidi="ar-SA"/>
        </w:rPr>
        <w:t>电信企业、中国广电山东网络有限公司济南市分公司及分支机构</w:t>
      </w:r>
    </w:p>
    <w:p w14:paraId="3FB4A864">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673"/>
        <w:textAlignment w:val="auto"/>
        <w:rPr>
          <w:rFonts w:hint="eastAsia"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服务对象</w:t>
      </w:r>
    </w:p>
    <w:p w14:paraId="6B2B4650">
      <w:pPr>
        <w:pStyle w:val="6"/>
        <w:keepNext w:val="0"/>
        <w:keepLines w:val="0"/>
        <w:pageBreakBefore w:val="0"/>
        <w:widowControl w:val="0"/>
        <w:kinsoku/>
        <w:wordWrap/>
        <w:overflowPunct/>
        <w:topLinePunct w:val="0"/>
        <w:bidi w:val="0"/>
        <w:snapToGrid/>
        <w:spacing w:line="54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本市行政区域内新建、改建、扩建的政府投资类建筑工程；社会投资类民用建筑工程；社会投资类工业、仓储建筑工程。下列工程建设项目除外：</w:t>
      </w:r>
    </w:p>
    <w:p w14:paraId="7C57FDC1">
      <w:pPr>
        <w:pStyle w:val="6"/>
        <w:keepNext w:val="0"/>
        <w:keepLines w:val="0"/>
        <w:pageBreakBefore w:val="0"/>
        <w:widowControl w:val="0"/>
        <w:kinsoku/>
        <w:wordWrap/>
        <w:overflowPunct/>
        <w:topLinePunct w:val="0"/>
        <w:bidi w:val="0"/>
        <w:snapToGrid/>
        <w:spacing w:line="54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1.涉及易燃易爆危险品、危险化学品的生产和储存或者技术难度特别复杂的项目；</w:t>
      </w:r>
    </w:p>
    <w:p w14:paraId="03D0DA5F">
      <w:pPr>
        <w:pStyle w:val="6"/>
        <w:keepNext w:val="0"/>
        <w:keepLines w:val="0"/>
        <w:pageBreakBefore w:val="0"/>
        <w:widowControl w:val="0"/>
        <w:kinsoku/>
        <w:wordWrap/>
        <w:overflowPunct/>
        <w:topLinePunct w:val="0"/>
        <w:bidi w:val="0"/>
        <w:snapToGrid/>
        <w:spacing w:line="54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2.关系国家安全和生态安全、涉及重大生产力布局、重大公共利益的项目；</w:t>
      </w:r>
    </w:p>
    <w:p w14:paraId="47974076">
      <w:pPr>
        <w:pStyle w:val="6"/>
        <w:keepNext w:val="0"/>
        <w:keepLines w:val="0"/>
        <w:pageBreakBefore w:val="0"/>
        <w:widowControl w:val="0"/>
        <w:kinsoku/>
        <w:wordWrap/>
        <w:overflowPunct/>
        <w:topLinePunct w:val="0"/>
        <w:bidi w:val="0"/>
        <w:snapToGrid/>
        <w:spacing w:line="54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3.特殊工程和交通、水利、能源等领域的重大工程。</w:t>
      </w:r>
    </w:p>
    <w:p w14:paraId="376023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2" w:firstLineChars="200"/>
        <w:textAlignment w:val="auto"/>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五、法定办理时限</w:t>
      </w:r>
    </w:p>
    <w:p w14:paraId="5ACA3F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textAlignment w:val="auto"/>
        <w:rPr>
          <w:rFonts w:hint="eastAsia" w:ascii="仿宋_GB2312" w:hAnsi="宋体" w:eastAsia="仿宋_GB2312" w:cs="方正兰亭黑2_GBK"/>
          <w:sz w:val="32"/>
          <w:szCs w:val="32"/>
          <w:lang w:val="en-US"/>
        </w:rPr>
      </w:pPr>
      <w:r>
        <w:rPr>
          <w:rFonts w:hint="eastAsia" w:ascii="仿宋_GB2312" w:hAnsi="仿宋_GB2312" w:eastAsia="仿宋_GB2312" w:cs="仿宋_GB2312"/>
          <w:color w:val="auto"/>
          <w:kern w:val="2"/>
          <w:sz w:val="31"/>
          <w:szCs w:val="31"/>
          <w:lang w:val="en-US" w:eastAsia="zh-CN" w:bidi="ar-SA"/>
        </w:rPr>
        <w:t>企业投资项目备案（社会投资简易低风险项目）1个工作日，建设工程规划许可证20个工作日，</w:t>
      </w:r>
      <w:r>
        <w:rPr>
          <w:rFonts w:hint="eastAsia" w:ascii="FangSong_GB2312" w:eastAsia="FangSong_GB2312"/>
          <w:sz w:val="32"/>
          <w:szCs w:val="32"/>
          <w:highlight w:val="none"/>
          <w:lang w:eastAsia="zh-CN"/>
        </w:rPr>
        <w:t>结合民用建筑修建放空地下室建设条件审批</w:t>
      </w:r>
      <w:r>
        <w:rPr>
          <w:rFonts w:hint="eastAsia" w:ascii="FangSong_GB2312" w:eastAsia="FangSong_GB2312"/>
          <w:sz w:val="32"/>
          <w:szCs w:val="32"/>
          <w:highlight w:val="none"/>
          <w:lang w:val="en-US" w:eastAsia="zh-CN"/>
        </w:rPr>
        <w:t>20个工作日，</w:t>
      </w:r>
      <w:r>
        <w:rPr>
          <w:rFonts w:hint="eastAsia" w:ascii="FangSong_GB2312" w:eastAsia="FangSong_GB2312"/>
          <w:sz w:val="32"/>
          <w:szCs w:val="32"/>
          <w:highlight w:val="none"/>
        </w:rPr>
        <w:t>防空地下室易地建设审批</w:t>
      </w:r>
      <w:r>
        <w:rPr>
          <w:rFonts w:hint="eastAsia" w:ascii="FangSong_GB2312" w:eastAsia="FangSong_GB2312"/>
          <w:sz w:val="32"/>
          <w:szCs w:val="32"/>
          <w:highlight w:val="none"/>
          <w:lang w:val="en-US" w:eastAsia="zh-CN"/>
        </w:rPr>
        <w:t>20个工作日，</w:t>
      </w:r>
      <w:r>
        <w:rPr>
          <w:rFonts w:hint="eastAsia" w:ascii="FangSong_GB2312" w:eastAsia="FangSong_GB2312"/>
          <w:sz w:val="32"/>
          <w:szCs w:val="32"/>
          <w:highlight w:val="none"/>
        </w:rPr>
        <w:t>兼顾人民防空需要建设条件审批</w:t>
      </w:r>
      <w:r>
        <w:rPr>
          <w:rFonts w:hint="eastAsia" w:ascii="FangSong_GB2312" w:eastAsia="FangSong_GB2312"/>
          <w:sz w:val="32"/>
          <w:szCs w:val="32"/>
          <w:highlight w:val="none"/>
          <w:lang w:val="en-US" w:eastAsia="zh-CN"/>
        </w:rPr>
        <w:t>20个工作日，</w:t>
      </w:r>
      <w:r>
        <w:rPr>
          <w:rFonts w:hint="eastAsia" w:ascii="仿宋_GB2312" w:hAnsi="仿宋_GB2312" w:eastAsia="仿宋_GB2312" w:cs="仿宋_GB2312"/>
          <w:color w:val="auto"/>
          <w:kern w:val="2"/>
          <w:sz w:val="31"/>
          <w:szCs w:val="31"/>
          <w:lang w:val="en-US" w:eastAsia="zh-CN" w:bidi="ar-SA"/>
        </w:rPr>
        <w:t>因工程建设需要拆除、改动、迁移供水、排水与污水处理设施审批20个工作日，新建扩建改建工程节水设施设计方案审核1个工作日，生产建设项目水土保持方案审批10个工作日，城市建筑垃圾处置核准20个自然日</w:t>
      </w:r>
    </w:p>
    <w:p w14:paraId="431D9F70">
      <w:pPr>
        <w:keepNext w:val="0"/>
        <w:keepLines w:val="0"/>
        <w:pageBreakBefore w:val="0"/>
        <w:widowControl w:val="0"/>
        <w:kinsoku/>
        <w:wordWrap/>
        <w:overflowPunct/>
        <w:topLinePunct w:val="0"/>
        <w:autoSpaceDE/>
        <w:autoSpaceDN/>
        <w:bidi w:val="0"/>
        <w:adjustRightInd/>
        <w:snapToGrid/>
        <w:spacing w:line="540" w:lineRule="exact"/>
        <w:ind w:firstLine="644" w:firstLineChars="200"/>
        <w:textAlignment w:val="auto"/>
        <w:rPr>
          <w:rFonts w:hint="eastAsia" w:ascii="黑体" w:hAnsi="黑体" w:eastAsia="黑体" w:cs="黑体"/>
          <w:sz w:val="31"/>
          <w:szCs w:val="31"/>
          <w:lang w:val="en-US" w:eastAsia="zh-CN"/>
        </w:rPr>
      </w:pPr>
      <w:r>
        <w:rPr>
          <w:rFonts w:hint="eastAsia" w:ascii="黑体" w:hAnsi="黑体" w:eastAsia="黑体" w:cs="黑体"/>
          <w:spacing w:val="6"/>
          <w:sz w:val="31"/>
          <w:szCs w:val="31"/>
          <w:lang w:val="en-US" w:eastAsia="zh-CN"/>
        </w:rPr>
        <w:t>六、承诺</w:t>
      </w:r>
      <w:r>
        <w:rPr>
          <w:rFonts w:ascii="黑体" w:hAnsi="黑体" w:eastAsia="黑体" w:cs="黑体"/>
          <w:spacing w:val="6"/>
          <w:sz w:val="31"/>
          <w:szCs w:val="31"/>
        </w:rPr>
        <w:t>办理</w:t>
      </w:r>
      <w:r>
        <w:rPr>
          <w:rFonts w:hint="eastAsia" w:ascii="黑体" w:hAnsi="黑体" w:eastAsia="黑体" w:cs="黑体"/>
          <w:spacing w:val="6"/>
          <w:sz w:val="31"/>
          <w:szCs w:val="31"/>
          <w:lang w:val="en-US" w:eastAsia="zh-CN"/>
        </w:rPr>
        <w:t>时限</w:t>
      </w:r>
    </w:p>
    <w:p w14:paraId="6A803DF7">
      <w:pPr>
        <w:pStyle w:val="6"/>
        <w:keepNext w:val="0"/>
        <w:keepLines w:val="0"/>
        <w:pageBreakBefore w:val="0"/>
        <w:widowControl w:val="0"/>
        <w:kinsoku/>
        <w:wordWrap/>
        <w:overflowPunct/>
        <w:topLinePunct w:val="0"/>
        <w:bidi w:val="0"/>
        <w:snapToGrid/>
        <w:spacing w:line="540" w:lineRule="exact"/>
        <w:ind w:firstLine="640" w:firstLineChars="200"/>
        <w:rPr>
          <w:rFonts w:hint="eastAsia" w:ascii="仿宋_GB2312" w:hAnsi="宋体" w:eastAsia="仿宋_GB2312" w:cs="方正兰亭黑2_GBK"/>
          <w:color w:val="auto"/>
          <w:kern w:val="2"/>
          <w:sz w:val="32"/>
          <w:szCs w:val="32"/>
          <w:lang w:val="en-US" w:eastAsia="zh-CN" w:bidi="ar-SA"/>
        </w:rPr>
      </w:pPr>
      <w:r>
        <w:rPr>
          <w:rFonts w:hint="eastAsia" w:ascii="仿宋_GB2312" w:hAnsi="宋体" w:eastAsia="仿宋_GB2312" w:cs="方正兰亭黑2_GBK"/>
          <w:color w:val="auto"/>
          <w:kern w:val="2"/>
          <w:sz w:val="32"/>
          <w:szCs w:val="32"/>
          <w:lang w:val="en-US" w:eastAsia="zh-CN" w:bidi="ar-SA"/>
        </w:rPr>
        <w:t>政府投资类建筑工程，社会投资类民用建筑工程10个工作日内；社会投资类工业、仓储建筑工程建设项目7个工作日内；社会投资简易低风险项目3个工作日内完成审查（申请人补正申请材料、整改、组织听证、专家评审、项目公示所需时间不计入办理时间）。</w:t>
      </w:r>
    </w:p>
    <w:p w14:paraId="01323178">
      <w:pPr>
        <w:pStyle w:val="6"/>
        <w:keepNext w:val="0"/>
        <w:keepLines w:val="0"/>
        <w:pageBreakBefore w:val="0"/>
        <w:widowControl w:val="0"/>
        <w:numPr>
          <w:ilvl w:val="0"/>
          <w:numId w:val="0"/>
        </w:numPr>
        <w:kinsoku/>
        <w:wordWrap/>
        <w:overflowPunct/>
        <w:topLinePunct w:val="0"/>
        <w:bidi w:val="0"/>
        <w:ind w:leftChars="3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七、结果名称</w:t>
      </w:r>
    </w:p>
    <w:p w14:paraId="69AD33A1">
      <w:pPr>
        <w:pStyle w:val="6"/>
        <w:keepNext w:val="0"/>
        <w:keepLines w:val="0"/>
        <w:pageBreakBefore w:val="0"/>
        <w:widowControl w:val="0"/>
        <w:kinsoku/>
        <w:wordWrap/>
        <w:overflowPunct/>
        <w:topLinePunct w:val="0"/>
        <w:bidi w:val="0"/>
        <w:snapToGrid/>
        <w:spacing w:line="540" w:lineRule="exact"/>
        <w:ind w:firstLine="640" w:firstLineChars="200"/>
        <w:rPr>
          <w:rFonts w:hint="default" w:ascii="仿宋_GB2312" w:hAnsi="宋体" w:eastAsia="仿宋_GB2312" w:cs="方正兰亭黑2_GBK"/>
          <w:color w:val="auto"/>
          <w:kern w:val="2"/>
          <w:sz w:val="32"/>
          <w:szCs w:val="32"/>
          <w:lang w:val="en-US" w:eastAsia="zh-CN" w:bidi="ar-SA"/>
        </w:rPr>
      </w:pPr>
      <w:r>
        <w:rPr>
          <w:rFonts w:hint="eastAsia" w:ascii="仿宋_GB2312" w:hAnsi="宋体" w:eastAsia="仿宋_GB2312" w:cs="方正兰亭黑2_GBK"/>
          <w:sz w:val="32"/>
          <w:szCs w:val="32"/>
          <w:lang w:val="en-US" w:eastAsia="zh-CN"/>
        </w:rPr>
        <w:t>建设工程规划许可证</w:t>
      </w:r>
      <w:r>
        <w:rPr>
          <w:rFonts w:hint="eastAsia" w:ascii="仿宋_GB2312" w:hAnsi="宋体" w:eastAsia="仿宋_GB2312" w:cs="方正兰亭黑2_GBK"/>
          <w:color w:val="auto"/>
          <w:kern w:val="2"/>
          <w:sz w:val="32"/>
          <w:szCs w:val="32"/>
          <w:lang w:val="en-US" w:eastAsia="zh-CN" w:bidi="ar-SA"/>
        </w:rPr>
        <w:t>；《</w:t>
      </w:r>
      <w:r>
        <w:rPr>
          <w:rFonts w:hint="default" w:ascii="仿宋_GB2312" w:hAnsi="宋体" w:eastAsia="仿宋_GB2312" w:cs="方正兰亭黑2_GBK"/>
          <w:color w:val="auto"/>
          <w:kern w:val="2"/>
          <w:sz w:val="32"/>
          <w:szCs w:val="32"/>
          <w:lang w:val="en-US" w:eastAsia="zh-CN" w:bidi="ar-SA"/>
        </w:rPr>
        <w:t>工程建设项目“多诺合一”方式告知承诺书</w:t>
      </w:r>
      <w:r>
        <w:rPr>
          <w:rFonts w:hint="eastAsia" w:ascii="仿宋_GB2312" w:hAnsi="宋体" w:eastAsia="仿宋_GB2312" w:cs="方正兰亭黑2_GBK"/>
          <w:color w:val="auto"/>
          <w:kern w:val="2"/>
          <w:sz w:val="32"/>
          <w:szCs w:val="32"/>
          <w:lang w:val="en-US" w:eastAsia="zh-CN" w:bidi="ar-SA"/>
        </w:rPr>
        <w:t>》</w:t>
      </w:r>
    </w:p>
    <w:p w14:paraId="6EF0B175">
      <w:pPr>
        <w:pStyle w:val="6"/>
        <w:keepNext w:val="0"/>
        <w:keepLines w:val="0"/>
        <w:pageBreakBefore w:val="0"/>
        <w:widowControl w:val="0"/>
        <w:numPr>
          <w:ilvl w:val="0"/>
          <w:numId w:val="0"/>
        </w:numPr>
        <w:kinsoku/>
        <w:wordWrap/>
        <w:overflowPunct/>
        <w:topLinePunct w:val="0"/>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八、结果样本</w:t>
      </w:r>
    </w:p>
    <w:p w14:paraId="555E7761">
      <w:pPr>
        <w:ind w:right="-764" w:rightChars="-364"/>
        <w:rPr>
          <w:rFonts w:hint="eastAsia" w:ascii="黑体" w:hAnsi="黑体" w:eastAsia="黑体" w:cs="黑体"/>
          <w:color w:val="0000FF"/>
          <w:sz w:val="32"/>
          <w:szCs w:val="32"/>
          <w:lang w:val="en-US" w:eastAsia="zh-CN"/>
        </w:rPr>
      </w:pPr>
      <w:r>
        <w:rPr>
          <w:rFonts w:hint="eastAsia" w:cs="宋体" w:asciiTheme="minorEastAsia" w:hAnsiTheme="minorEastAsia" w:eastAsiaTheme="minorEastAsia"/>
          <w:b/>
          <w:bCs/>
          <w:szCs w:val="21"/>
        </w:rPr>
        <w:t>建设工程规划许可证</w:t>
      </w:r>
    </w:p>
    <w:p w14:paraId="5B08859A">
      <w:pPr>
        <w:spacing w:line="360" w:lineRule="auto"/>
        <w:jc w:val="center"/>
        <w:rPr>
          <w:rFonts w:hint="eastAsia" w:ascii="黑体" w:hAnsi="黑体" w:eastAsia="黑体" w:cs="黑体"/>
          <w:color w:val="0000FF"/>
          <w:sz w:val="32"/>
          <w:szCs w:val="32"/>
          <w:lang w:val="en-US" w:eastAsia="zh-CN"/>
        </w:rPr>
      </w:pPr>
      <w:r>
        <w:drawing>
          <wp:anchor distT="0" distB="0" distL="114300" distR="114300" simplePos="0" relativeHeight="251659264" behindDoc="0" locked="0" layoutInCell="1" allowOverlap="1">
            <wp:simplePos x="0" y="0"/>
            <wp:positionH relativeFrom="column">
              <wp:posOffset>-231140</wp:posOffset>
            </wp:positionH>
            <wp:positionV relativeFrom="paragraph">
              <wp:posOffset>363855</wp:posOffset>
            </wp:positionV>
            <wp:extent cx="6494780" cy="4435475"/>
            <wp:effectExtent l="0" t="0" r="1270" b="3175"/>
            <wp:wrapTopAndBottom/>
            <wp:docPr id="631208759" name="图片 63120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08759" name="图片 631208759"/>
                    <pic:cNvPicPr>
                      <a:picLocks noChangeAspect="1"/>
                    </pic:cNvPicPr>
                  </pic:nvPicPr>
                  <pic:blipFill>
                    <a:blip r:embed="rId4" cstate="print"/>
                    <a:stretch>
                      <a:fillRect/>
                    </a:stretch>
                  </pic:blipFill>
                  <pic:spPr>
                    <a:xfrm>
                      <a:off x="0" y="0"/>
                      <a:ext cx="6494780" cy="4435475"/>
                    </a:xfrm>
                    <a:prstGeom prst="rect">
                      <a:avLst/>
                    </a:prstGeom>
                    <a:noFill/>
                    <a:ln>
                      <a:noFill/>
                    </a:ln>
                  </pic:spPr>
                </pic:pic>
              </a:graphicData>
            </a:graphic>
          </wp:anchor>
        </w:drawing>
      </w:r>
    </w:p>
    <w:p w14:paraId="31E1DE33">
      <w:pPr>
        <w:spacing w:line="360" w:lineRule="auto"/>
        <w:jc w:val="center"/>
        <w:rPr>
          <w:rFonts w:hint="eastAsia" w:ascii="黑体" w:hAnsi="黑体" w:eastAsia="黑体" w:cs="黑体"/>
          <w:color w:val="0000FF"/>
          <w:sz w:val="32"/>
          <w:szCs w:val="32"/>
          <w:lang w:val="en-US" w:eastAsia="zh-CN"/>
        </w:rPr>
      </w:pPr>
    </w:p>
    <w:p w14:paraId="7DE547B2">
      <w:pPr>
        <w:spacing w:line="360" w:lineRule="auto"/>
        <w:jc w:val="center"/>
        <w:rPr>
          <w:rFonts w:hint="eastAsia" w:ascii="黑体" w:hAnsi="黑体" w:eastAsia="黑体" w:cs="黑体"/>
          <w:color w:val="0000FF"/>
          <w:sz w:val="32"/>
          <w:szCs w:val="32"/>
          <w:lang w:val="en-US" w:eastAsia="zh-CN"/>
        </w:rPr>
      </w:pPr>
    </w:p>
    <w:p w14:paraId="5909F307">
      <w:pPr>
        <w:spacing w:line="360" w:lineRule="auto"/>
        <w:jc w:val="center"/>
        <w:rPr>
          <w:rFonts w:hint="eastAsia" w:ascii="黑体" w:hAnsi="黑体" w:eastAsia="黑体" w:cs="黑体"/>
          <w:color w:val="0000FF"/>
          <w:sz w:val="32"/>
          <w:szCs w:val="32"/>
          <w:lang w:val="en-US" w:eastAsia="zh-CN"/>
        </w:rPr>
      </w:pPr>
    </w:p>
    <w:p w14:paraId="1F03F344">
      <w:pPr>
        <w:spacing w:line="360" w:lineRule="auto"/>
        <w:jc w:val="center"/>
        <w:rPr>
          <w:rFonts w:hint="eastAsia" w:ascii="黑体" w:hAnsi="黑体" w:eastAsia="黑体" w:cs="黑体"/>
          <w:color w:val="0000FF"/>
          <w:sz w:val="32"/>
          <w:szCs w:val="32"/>
          <w:lang w:val="en-US" w:eastAsia="zh-CN"/>
        </w:rPr>
      </w:pPr>
    </w:p>
    <w:p w14:paraId="3EED541A">
      <w:pPr>
        <w:spacing w:line="360" w:lineRule="auto"/>
        <w:jc w:val="center"/>
        <w:rPr>
          <w:rFonts w:hint="eastAsia" w:ascii="黑体" w:hAnsi="黑体" w:eastAsia="黑体" w:cs="黑体"/>
          <w:color w:val="0000FF"/>
          <w:sz w:val="32"/>
          <w:szCs w:val="32"/>
          <w:lang w:val="en-US" w:eastAsia="zh-CN"/>
        </w:rPr>
      </w:pPr>
    </w:p>
    <w:p w14:paraId="78E042E5">
      <w:pPr>
        <w:spacing w:line="360" w:lineRule="auto"/>
        <w:jc w:val="center"/>
        <w:rPr>
          <w:rFonts w:hint="eastAsia" w:ascii="黑体" w:hAnsi="黑体" w:eastAsia="黑体" w:cs="黑体"/>
          <w:color w:val="0000FF"/>
          <w:sz w:val="32"/>
          <w:szCs w:val="32"/>
          <w:lang w:val="en-US" w:eastAsia="zh-CN"/>
        </w:rPr>
      </w:pPr>
    </w:p>
    <w:p w14:paraId="3B84DD2D">
      <w:pPr>
        <w:spacing w:line="360" w:lineRule="auto"/>
        <w:jc w:val="both"/>
        <w:rPr>
          <w:rFonts w:hint="eastAsia" w:ascii="黑体" w:hAnsi="黑体" w:eastAsia="黑体" w:cs="黑体"/>
          <w:color w:val="0000FF"/>
          <w:sz w:val="32"/>
          <w:szCs w:val="32"/>
          <w:lang w:val="en-US" w:eastAsia="zh-CN"/>
        </w:rPr>
      </w:pPr>
    </w:p>
    <w:p w14:paraId="104E27A3">
      <w:pPr>
        <w:spacing w:line="360" w:lineRule="auto"/>
        <w:jc w:val="center"/>
        <w:rPr>
          <w:rFonts w:ascii="文星标宋" w:hAnsi="文星标宋" w:eastAsia="文星标宋"/>
          <w:w w:val="90"/>
          <w:sz w:val="36"/>
          <w:szCs w:val="36"/>
        </w:rPr>
      </w:pPr>
      <w:r>
        <w:rPr>
          <w:rFonts w:hint="eastAsia" w:ascii="黑体" w:hAnsi="黑体" w:eastAsia="黑体" w:cs="黑体"/>
          <w:color w:val="0000FF"/>
          <w:sz w:val="32"/>
          <w:szCs w:val="32"/>
          <w:lang w:val="en-US" w:eastAsia="zh-CN"/>
        </w:rPr>
        <w:t xml:space="preserve"> </w:t>
      </w:r>
      <w:r>
        <w:rPr>
          <w:rFonts w:hint="eastAsia" w:ascii="文星标宋" w:hAnsi="文星标宋" w:eastAsia="文星标宋"/>
          <w:w w:val="90"/>
          <w:sz w:val="36"/>
          <w:szCs w:val="36"/>
        </w:rPr>
        <w:t>工程建设项目“多诺合一”方式告知承诺书内容示例</w:t>
      </w:r>
    </w:p>
    <w:p w14:paraId="144FCA56">
      <w:pPr>
        <w:adjustRightInd w:val="0"/>
        <w:snapToGrid w:val="0"/>
        <w:spacing w:line="360" w:lineRule="auto"/>
        <w:ind w:firstLine="422" w:firstLineChars="200"/>
        <w:rPr>
          <w:rFonts w:ascii="FangSong_GB2312"/>
          <w:b/>
          <w:bCs/>
        </w:rPr>
      </w:pPr>
      <w:r>
        <w:rPr>
          <w:rFonts w:hint="eastAsia" w:ascii="FangSong_GB2312"/>
          <w:b/>
          <w:bCs/>
        </w:rPr>
        <w:t>一、本阶段需要申请人实施的审批服务事项名称（根据项目类型不涉及的事项可不申请）:</w:t>
      </w:r>
    </w:p>
    <w:p w14:paraId="70D35ADA">
      <w:pPr>
        <w:adjustRightInd w:val="0"/>
        <w:snapToGrid w:val="0"/>
        <w:spacing w:line="360" w:lineRule="auto"/>
        <w:ind w:firstLine="420" w:firstLineChars="200"/>
        <w:rPr>
          <w:rFonts w:ascii="FangSong_GB2312" w:hAnsi="FangSong_GB2312" w:cs="FangSong_GB2312"/>
        </w:rPr>
      </w:pPr>
      <w:r>
        <w:rPr>
          <w:rFonts w:hint="eastAsia" w:cs="FangSong_GB2312"/>
        </w:rPr>
        <w:t>1</w:t>
      </w:r>
      <w:r>
        <w:rPr>
          <w:rFonts w:hint="eastAsia" w:ascii="FangSong_GB2312" w:hAnsi="FangSong_GB2312" w:cs="FangSong_GB2312"/>
        </w:rPr>
        <w:t>、因工程建设需要拆除、改动、迁移供水、排水与污水处理设施审批；</w:t>
      </w:r>
    </w:p>
    <w:p w14:paraId="014B0092">
      <w:pPr>
        <w:adjustRightInd w:val="0"/>
        <w:snapToGrid w:val="0"/>
        <w:spacing w:line="360" w:lineRule="auto"/>
        <w:ind w:firstLine="420" w:firstLineChars="200"/>
        <w:rPr>
          <w:rFonts w:ascii="FangSong_GB2312" w:hAnsi="FangSong_GB2312" w:cs="FangSong_GB2312"/>
        </w:rPr>
      </w:pPr>
      <w:r>
        <w:rPr>
          <w:rFonts w:hint="eastAsia" w:cs="FangSong_GB2312"/>
        </w:rPr>
        <w:t>2</w:t>
      </w:r>
      <w:r>
        <w:rPr>
          <w:rFonts w:hint="eastAsia" w:ascii="FangSong_GB2312" w:hAnsi="FangSong_GB2312" w:cs="FangSong_GB2312"/>
        </w:rPr>
        <w:t>、生产建设项目水土保持方案审批；</w:t>
      </w:r>
    </w:p>
    <w:p w14:paraId="3D58FD2A">
      <w:pPr>
        <w:adjustRightInd w:val="0"/>
        <w:snapToGrid w:val="0"/>
        <w:spacing w:line="360" w:lineRule="auto"/>
        <w:ind w:firstLine="420" w:firstLineChars="200"/>
        <w:rPr>
          <w:rFonts w:ascii="FangSong_GB2312" w:hAnsi="FangSong_GB2312" w:eastAsia="FangSong_GB2312" w:cs="FangSong_GB2312"/>
        </w:rPr>
      </w:pPr>
      <w:r>
        <w:rPr>
          <w:rFonts w:hint="eastAsia" w:cs="FangSong_GB2312"/>
        </w:rPr>
        <w:t>3</w:t>
      </w:r>
      <w:r>
        <w:rPr>
          <w:rFonts w:hint="eastAsia" w:ascii="FangSong_GB2312" w:hAnsi="FangSong_GB2312" w:cs="FangSong_GB2312"/>
        </w:rPr>
        <w:t>、新建扩建改建工程节水设施设计方案审查；</w:t>
      </w:r>
    </w:p>
    <w:p w14:paraId="7A6054CC">
      <w:pPr>
        <w:adjustRightInd w:val="0"/>
        <w:snapToGrid w:val="0"/>
        <w:spacing w:line="360" w:lineRule="auto"/>
        <w:ind w:firstLine="420" w:firstLineChars="200"/>
        <w:rPr>
          <w:rFonts w:ascii="FangSong_GB2312" w:hAnsi="FangSong_GB2312" w:cs="FangSong_GB2312"/>
        </w:rPr>
      </w:pPr>
      <w:r>
        <w:rPr>
          <w:rFonts w:hint="eastAsia" w:cs="FangSong_GB2312"/>
        </w:rPr>
        <w:t>4</w:t>
      </w:r>
      <w:r>
        <w:rPr>
          <w:rFonts w:hint="eastAsia" w:ascii="FangSong_GB2312" w:hAnsi="FangSong_GB2312" w:cs="FangSong_GB2312"/>
        </w:rPr>
        <w:t>、城市建筑垃圾处置核准；</w:t>
      </w:r>
    </w:p>
    <w:p w14:paraId="32786C2C">
      <w:pPr>
        <w:adjustRightInd w:val="0"/>
        <w:snapToGrid w:val="0"/>
        <w:spacing w:line="360" w:lineRule="auto"/>
        <w:ind w:firstLine="420" w:firstLineChars="200"/>
        <w:rPr>
          <w:rFonts w:ascii="FangSong_GB2312" w:hAnsi="FangSong_GB2312" w:cs="FangSong_GB2312"/>
        </w:rPr>
      </w:pPr>
      <w:r>
        <w:rPr>
          <w:rFonts w:hint="eastAsia" w:ascii="FangSong_GB2312" w:hAnsi="FangSong_GB2312" w:cs="FangSong_GB2312"/>
        </w:rPr>
        <w:t>5、建设工程抗震设防要求确定；</w:t>
      </w:r>
    </w:p>
    <w:p w14:paraId="7FD75AB4">
      <w:pPr>
        <w:adjustRightInd w:val="0"/>
        <w:snapToGrid w:val="0"/>
        <w:spacing w:line="360" w:lineRule="auto"/>
        <w:ind w:firstLine="420" w:firstLineChars="200"/>
        <w:rPr>
          <w:rFonts w:ascii="FangSong_GB2312" w:hAnsi="FangSong_GB2312" w:cs="FangSong_GB2312"/>
        </w:rPr>
      </w:pPr>
      <w:r>
        <w:rPr>
          <w:rFonts w:hint="eastAsia" w:ascii="FangSong_GB2312" w:hAnsi="FangSong_GB2312" w:cs="FangSong_GB2312"/>
        </w:rPr>
        <w:t>6、城区建设项目配套环卫设施设计审查；</w:t>
      </w:r>
    </w:p>
    <w:p w14:paraId="29DB4567">
      <w:pPr>
        <w:adjustRightInd w:val="0"/>
        <w:snapToGrid w:val="0"/>
        <w:spacing w:line="360" w:lineRule="auto"/>
        <w:ind w:firstLine="420" w:firstLineChars="200"/>
        <w:rPr>
          <w:rFonts w:ascii="FangSong_GB2312" w:hAnsi="FangSong_GB2312" w:cs="FangSong_GB2312"/>
        </w:rPr>
      </w:pPr>
      <w:r>
        <w:rPr>
          <w:rFonts w:hint="eastAsia" w:ascii="FangSong_GB2312" w:hAnsi="FangSong_GB2312" w:cs="FangSong_GB2312"/>
        </w:rPr>
        <w:t>7、人防设施设计规范要求</w:t>
      </w:r>
    </w:p>
    <w:p w14:paraId="6FC49999">
      <w:pPr>
        <w:adjustRightInd w:val="0"/>
        <w:snapToGrid w:val="0"/>
        <w:spacing w:line="360" w:lineRule="auto"/>
        <w:ind w:firstLine="422" w:firstLineChars="200"/>
        <w:rPr>
          <w:rFonts w:ascii="FangSong_GB2312"/>
          <w:b/>
          <w:bCs/>
        </w:rPr>
      </w:pPr>
      <w:r>
        <w:rPr>
          <w:rFonts w:hint="eastAsia" w:ascii="FangSong_GB2312"/>
          <w:b/>
          <w:bCs/>
        </w:rPr>
        <w:t>二、审批服务事项所依据的主要法律、法规、规章的名称和相关条款：</w:t>
      </w:r>
    </w:p>
    <w:p w14:paraId="08149653">
      <w:pPr>
        <w:adjustRightInd w:val="0"/>
        <w:snapToGrid w:val="0"/>
        <w:spacing w:line="360" w:lineRule="auto"/>
        <w:ind w:firstLine="420" w:firstLineChars="200"/>
        <w:rPr>
          <w:rFonts w:hint="eastAsia" w:cs="FangSong_GB2312"/>
        </w:rPr>
      </w:pPr>
      <w:r>
        <w:rPr>
          <w:rFonts w:hint="eastAsia" w:cs="FangSong_GB2312"/>
        </w:rPr>
        <w:t>（一）因工程建设需要拆除、改动、迁移供水、排水与污水处理设施审批，生产建设项目水土保持方案审批</w:t>
      </w:r>
    </w:p>
    <w:p w14:paraId="667E7329">
      <w:pPr>
        <w:adjustRightInd w:val="0"/>
        <w:snapToGrid w:val="0"/>
        <w:spacing w:line="360" w:lineRule="auto"/>
        <w:ind w:firstLine="420" w:firstLineChars="200"/>
        <w:rPr>
          <w:rFonts w:hint="eastAsia" w:cs="FangSong_GB2312"/>
        </w:rPr>
      </w:pPr>
      <w:r>
        <w:rPr>
          <w:rFonts w:hint="eastAsia" w:cs="FangSong_GB2312"/>
        </w:rPr>
        <w:t>1、《城镇排水与污水处理条例》第四十三条;</w:t>
      </w:r>
    </w:p>
    <w:p w14:paraId="5889CD5B">
      <w:pPr>
        <w:adjustRightInd w:val="0"/>
        <w:snapToGrid w:val="0"/>
        <w:spacing w:line="360" w:lineRule="auto"/>
        <w:ind w:firstLine="420" w:firstLineChars="200"/>
        <w:rPr>
          <w:rFonts w:hint="eastAsia" w:cs="FangSong_GB2312"/>
        </w:rPr>
      </w:pPr>
      <w:r>
        <w:rPr>
          <w:rFonts w:hint="eastAsia" w:cs="FangSong_GB2312"/>
        </w:rPr>
        <w:t>2、《济南市市政设施管理条例》第五十八条;</w:t>
      </w:r>
    </w:p>
    <w:p w14:paraId="31C0BCC4">
      <w:pPr>
        <w:adjustRightInd w:val="0"/>
        <w:snapToGrid w:val="0"/>
        <w:spacing w:line="360" w:lineRule="auto"/>
        <w:ind w:firstLine="420" w:firstLineChars="200"/>
        <w:rPr>
          <w:rFonts w:hint="eastAsia" w:cs="FangSong_GB2312"/>
        </w:rPr>
      </w:pPr>
      <w:r>
        <w:rPr>
          <w:rFonts w:hint="eastAsia" w:cs="FangSong_GB2312"/>
        </w:rPr>
        <w:t>3、《中华人民共和国水土保持法》第二十五条；</w:t>
      </w:r>
    </w:p>
    <w:p w14:paraId="52B0B97B">
      <w:pPr>
        <w:adjustRightInd w:val="0"/>
        <w:snapToGrid w:val="0"/>
        <w:spacing w:line="360" w:lineRule="auto"/>
        <w:ind w:firstLine="420" w:firstLineChars="200"/>
        <w:rPr>
          <w:rFonts w:hint="eastAsia" w:cs="FangSong_GB2312"/>
        </w:rPr>
      </w:pPr>
      <w:r>
        <w:rPr>
          <w:rFonts w:hint="eastAsia" w:cs="FangSong_GB2312"/>
        </w:rPr>
        <w:t>4、《山东省水土保持条例》第二十二条；</w:t>
      </w:r>
    </w:p>
    <w:p w14:paraId="5EE447D7">
      <w:pPr>
        <w:adjustRightInd w:val="0"/>
        <w:snapToGrid w:val="0"/>
        <w:spacing w:line="360" w:lineRule="auto"/>
        <w:ind w:firstLine="420" w:firstLineChars="200"/>
        <w:rPr>
          <w:rFonts w:hint="eastAsia" w:cs="FangSong_GB2312"/>
        </w:rPr>
      </w:pPr>
      <w:r>
        <w:rPr>
          <w:rFonts w:hint="eastAsia" w:cs="FangSong_GB2312"/>
        </w:rPr>
        <w:t>5、《济南市水土保持条例》第十二条。</w:t>
      </w:r>
    </w:p>
    <w:p w14:paraId="7FAFA8A2">
      <w:pPr>
        <w:adjustRightInd w:val="0"/>
        <w:snapToGrid w:val="0"/>
        <w:spacing w:line="360" w:lineRule="auto"/>
        <w:ind w:firstLine="420" w:firstLineChars="200"/>
        <w:rPr>
          <w:rFonts w:hint="eastAsia" w:cs="FangSong_GB2312"/>
        </w:rPr>
      </w:pPr>
      <w:r>
        <w:rPr>
          <w:rFonts w:hint="eastAsia" w:cs="FangSong_GB2312"/>
        </w:rPr>
        <w:t>（二）新建扩建改建工程节水设施设计方案审查</w:t>
      </w:r>
    </w:p>
    <w:p w14:paraId="2C08CE43">
      <w:pPr>
        <w:adjustRightInd w:val="0"/>
        <w:snapToGrid w:val="0"/>
        <w:spacing w:line="360" w:lineRule="auto"/>
        <w:ind w:firstLine="420" w:firstLineChars="200"/>
        <w:rPr>
          <w:rFonts w:hint="eastAsia" w:cs="FangSong_GB2312"/>
        </w:rPr>
      </w:pPr>
      <w:r>
        <w:rPr>
          <w:rFonts w:hint="eastAsia" w:cs="FangSong_GB2312"/>
        </w:rPr>
        <w:t>1、《中华人民共和国水法》第五十三条；</w:t>
      </w:r>
    </w:p>
    <w:p w14:paraId="155C4B06">
      <w:pPr>
        <w:adjustRightInd w:val="0"/>
        <w:snapToGrid w:val="0"/>
        <w:spacing w:line="360" w:lineRule="auto"/>
        <w:ind w:firstLine="420" w:firstLineChars="200"/>
        <w:rPr>
          <w:rFonts w:hint="eastAsia" w:cs="FangSong_GB2312"/>
        </w:rPr>
      </w:pPr>
      <w:r>
        <w:rPr>
          <w:rFonts w:hint="eastAsia" w:cs="FangSong_GB2312"/>
        </w:rPr>
        <w:t>2、《山东省节约用水办法》第十八条、第十九条;</w:t>
      </w:r>
    </w:p>
    <w:p w14:paraId="33BD7270">
      <w:pPr>
        <w:adjustRightInd w:val="0"/>
        <w:snapToGrid w:val="0"/>
        <w:spacing w:line="360" w:lineRule="auto"/>
        <w:ind w:firstLine="420" w:firstLineChars="200"/>
        <w:rPr>
          <w:rFonts w:hint="eastAsia" w:cs="FangSong_GB2312"/>
        </w:rPr>
      </w:pPr>
      <w:r>
        <w:rPr>
          <w:rFonts w:hint="eastAsia" w:cs="FangSong_GB2312"/>
        </w:rPr>
        <w:t>3、《山东省水资源条例》第五十一条；</w:t>
      </w:r>
    </w:p>
    <w:p w14:paraId="14C5DAC9">
      <w:pPr>
        <w:adjustRightInd w:val="0"/>
        <w:snapToGrid w:val="0"/>
        <w:spacing w:line="360" w:lineRule="auto"/>
        <w:ind w:firstLine="420" w:firstLineChars="200"/>
        <w:rPr>
          <w:rFonts w:hint="eastAsia" w:cs="FangSong_GB2312"/>
        </w:rPr>
      </w:pPr>
      <w:r>
        <w:rPr>
          <w:rFonts w:hint="eastAsia" w:cs="FangSong_GB2312"/>
        </w:rPr>
        <w:t>4、《济南市节约用水条例》第九条、第三十二条、第四十条。</w:t>
      </w:r>
    </w:p>
    <w:p w14:paraId="571E21D7">
      <w:pPr>
        <w:adjustRightInd w:val="0"/>
        <w:snapToGrid w:val="0"/>
        <w:spacing w:line="360" w:lineRule="auto"/>
        <w:ind w:firstLine="420" w:firstLineChars="200"/>
        <w:rPr>
          <w:rFonts w:hint="eastAsia" w:cs="FangSong_GB2312"/>
        </w:rPr>
      </w:pPr>
      <w:r>
        <w:rPr>
          <w:rFonts w:hint="eastAsia" w:cs="FangSong_GB2312"/>
        </w:rPr>
        <w:t>（三）城市建筑垃圾处置核准审批服务事项所依据的主要法律、法规、规章的名称和相关条款</w:t>
      </w:r>
    </w:p>
    <w:p w14:paraId="1C1799A2">
      <w:pPr>
        <w:adjustRightInd w:val="0"/>
        <w:snapToGrid w:val="0"/>
        <w:spacing w:line="360" w:lineRule="auto"/>
        <w:ind w:firstLine="420" w:firstLineChars="200"/>
        <w:rPr>
          <w:rFonts w:hint="eastAsia" w:cs="FangSong_GB2312"/>
        </w:rPr>
      </w:pPr>
      <w:r>
        <w:rPr>
          <w:rFonts w:hint="eastAsia" w:cs="FangSong_GB2312"/>
        </w:rPr>
        <w:t>1、《济南市城市建筑垃圾管理条例》第十五条、第十六条、第十七条；</w:t>
      </w:r>
    </w:p>
    <w:p w14:paraId="2E27B800">
      <w:pPr>
        <w:adjustRightInd w:val="0"/>
        <w:snapToGrid w:val="0"/>
        <w:spacing w:line="360" w:lineRule="auto"/>
        <w:ind w:firstLine="420" w:firstLineChars="200"/>
        <w:rPr>
          <w:rFonts w:hint="eastAsia" w:cs="FangSong_GB2312"/>
        </w:rPr>
      </w:pPr>
      <w:r>
        <w:rPr>
          <w:rFonts w:hint="eastAsia" w:cs="FangSong_GB2312"/>
        </w:rPr>
        <w:t>2、《城市建筑垃圾管理规定》第七条、第十三条、第十四条；</w:t>
      </w:r>
    </w:p>
    <w:p w14:paraId="399FB909">
      <w:pPr>
        <w:adjustRightInd w:val="0"/>
        <w:snapToGrid w:val="0"/>
        <w:spacing w:line="360" w:lineRule="auto"/>
        <w:ind w:firstLine="420" w:firstLineChars="200"/>
        <w:rPr>
          <w:rFonts w:hint="eastAsia" w:cs="FangSong_GB2312"/>
        </w:rPr>
      </w:pPr>
      <w:r>
        <w:rPr>
          <w:rFonts w:hint="eastAsia" w:cs="FangSong_GB2312"/>
        </w:rPr>
        <w:t>3、《建设部关于纳入国务院决定的十五项行政许可的条件的规定》第四项“城市建筑垃圾处置核准条件”。</w:t>
      </w:r>
    </w:p>
    <w:p w14:paraId="6F60A56C">
      <w:pPr>
        <w:adjustRightInd w:val="0"/>
        <w:snapToGrid w:val="0"/>
        <w:spacing w:line="360" w:lineRule="auto"/>
        <w:ind w:firstLine="420" w:firstLineChars="200"/>
        <w:rPr>
          <w:rFonts w:hint="eastAsia" w:cs="FangSong_GB2312"/>
        </w:rPr>
      </w:pPr>
      <w:r>
        <w:rPr>
          <w:rFonts w:hint="eastAsia" w:cs="FangSong_GB2312"/>
        </w:rPr>
        <w:t>（四）建设工程抗震设防要求确定审批服务事项所依据的主要法律、法规、规章的名称和相关条款   </w:t>
      </w:r>
    </w:p>
    <w:p w14:paraId="09E4A00B">
      <w:pPr>
        <w:adjustRightInd w:val="0"/>
        <w:snapToGrid w:val="0"/>
        <w:spacing w:line="360" w:lineRule="auto"/>
        <w:ind w:firstLine="420" w:firstLineChars="200"/>
        <w:rPr>
          <w:rFonts w:hint="eastAsia" w:cs="FangSong_GB2312"/>
        </w:rPr>
      </w:pPr>
      <w:r>
        <w:rPr>
          <w:rFonts w:hint="eastAsia" w:cs="FangSong_GB2312"/>
        </w:rPr>
        <w:t>1、《中华人民</w:t>
      </w:r>
      <w:r>
        <w:rPr>
          <w:rFonts w:hint="eastAsia" w:cs="FangSong_GB2312"/>
          <w:lang w:eastAsia="zh-CN"/>
        </w:rPr>
        <w:t>共和国</w:t>
      </w:r>
      <w:bookmarkStart w:id="0" w:name="_GoBack"/>
      <w:bookmarkEnd w:id="0"/>
      <w:r>
        <w:rPr>
          <w:rFonts w:hint="eastAsia" w:cs="FangSong_GB2312"/>
        </w:rPr>
        <w:t>防震减灾法》第三十五条；</w:t>
      </w:r>
    </w:p>
    <w:p w14:paraId="1AD0F560">
      <w:pPr>
        <w:adjustRightInd w:val="0"/>
        <w:snapToGrid w:val="0"/>
        <w:spacing w:line="360" w:lineRule="auto"/>
        <w:ind w:firstLine="420" w:firstLineChars="200"/>
        <w:rPr>
          <w:rFonts w:hint="eastAsia" w:cs="FangSong_GB2312"/>
        </w:rPr>
      </w:pPr>
      <w:r>
        <w:rPr>
          <w:rFonts w:hint="eastAsia" w:cs="FangSong_GB2312"/>
        </w:rPr>
        <w:t>2、《山东省防震减灾条例》第二十七条、第三十一条；</w:t>
      </w:r>
    </w:p>
    <w:p w14:paraId="42BB9E03">
      <w:pPr>
        <w:adjustRightInd w:val="0"/>
        <w:snapToGrid w:val="0"/>
        <w:spacing w:line="360" w:lineRule="auto"/>
        <w:ind w:firstLine="420" w:firstLineChars="200"/>
        <w:rPr>
          <w:rFonts w:cs="FangSong_GB2312"/>
        </w:rPr>
      </w:pPr>
      <w:r>
        <w:rPr>
          <w:rFonts w:hint="eastAsia" w:cs="FangSong_GB2312"/>
        </w:rPr>
        <w:t>3、《山东省建设工程抗震设防条例》第九条、第十条、第十二条、第十四条；</w:t>
      </w:r>
    </w:p>
    <w:p w14:paraId="7957DA75">
      <w:pPr>
        <w:adjustRightInd w:val="0"/>
        <w:snapToGrid w:val="0"/>
        <w:spacing w:line="360" w:lineRule="auto"/>
        <w:ind w:firstLine="420" w:firstLineChars="200"/>
        <w:rPr>
          <w:rFonts w:cs="FangSong_GB2312"/>
        </w:rPr>
      </w:pPr>
      <w:r>
        <w:rPr>
          <w:rFonts w:hint="eastAsia" w:cs="FangSong_GB2312"/>
        </w:rPr>
        <w:t>4、《山东省地震安全性评价管理办法》第三条、第四条、第六条。</w:t>
      </w:r>
    </w:p>
    <w:p w14:paraId="57D6DBA7">
      <w:pPr>
        <w:adjustRightInd w:val="0"/>
        <w:snapToGrid w:val="0"/>
        <w:spacing w:line="360" w:lineRule="auto"/>
        <w:ind w:firstLine="420" w:firstLineChars="200"/>
        <w:rPr>
          <w:rFonts w:hint="eastAsia" w:cs="FangSong_GB2312"/>
        </w:rPr>
      </w:pPr>
      <w:r>
        <w:rPr>
          <w:rFonts w:hint="eastAsia" w:ascii="FangSong_GB2312" w:hAnsi="FangSong_GB2312" w:cs="FangSong_GB2312"/>
        </w:rPr>
        <w:t>（五）城区建设项目配套环卫设施设计审查审批服务事项所依据的主要法律、法规、规章的名称和</w:t>
      </w:r>
      <w:r>
        <w:rPr>
          <w:rFonts w:hint="eastAsia" w:cs="FangSong_GB2312"/>
        </w:rPr>
        <w:t>相关条款</w:t>
      </w:r>
    </w:p>
    <w:p w14:paraId="6752EA2A">
      <w:pPr>
        <w:adjustRightInd w:val="0"/>
        <w:snapToGrid w:val="0"/>
        <w:spacing w:line="360" w:lineRule="auto"/>
        <w:ind w:firstLine="420" w:firstLineChars="200"/>
        <w:rPr>
          <w:rFonts w:hint="eastAsia" w:cs="FangSong_GB2312"/>
        </w:rPr>
      </w:pPr>
      <w:r>
        <w:rPr>
          <w:rFonts w:hint="eastAsia" w:cs="FangSong_GB2312"/>
        </w:rPr>
        <w:t>1、《城市市容和环境卫生管理条例》(2017年3月1日国务院令第676号)第十九条、第二十条、第二十一条；</w:t>
      </w:r>
    </w:p>
    <w:p w14:paraId="73B383D6">
      <w:pPr>
        <w:adjustRightInd w:val="0"/>
        <w:snapToGrid w:val="0"/>
        <w:spacing w:line="360" w:lineRule="auto"/>
        <w:ind w:firstLine="420" w:firstLineChars="200"/>
        <w:rPr>
          <w:rFonts w:hint="eastAsia" w:cs="FangSong_GB2312"/>
        </w:rPr>
      </w:pPr>
      <w:r>
        <w:rPr>
          <w:rFonts w:hint="eastAsia" w:cs="FangSong_GB2312"/>
        </w:rPr>
        <w:t>2、《山东省城镇容貌和环境卫生管理办法（山东省人民政府令第218号）》第三十一条；</w:t>
      </w:r>
    </w:p>
    <w:p w14:paraId="12180090">
      <w:pPr>
        <w:adjustRightInd w:val="0"/>
        <w:snapToGrid w:val="0"/>
        <w:spacing w:line="360" w:lineRule="auto"/>
        <w:ind w:firstLine="420" w:firstLineChars="200"/>
        <w:rPr>
          <w:rFonts w:hint="eastAsia" w:cs="FangSong_GB2312"/>
        </w:rPr>
      </w:pPr>
      <w:r>
        <w:rPr>
          <w:rFonts w:hint="eastAsia" w:cs="FangSong_GB2312"/>
        </w:rPr>
        <w:t>3、《济南市城市环境卫生管理条例》第三十四条；</w:t>
      </w:r>
    </w:p>
    <w:p w14:paraId="0B779A3C">
      <w:pPr>
        <w:adjustRightInd w:val="0"/>
        <w:snapToGrid w:val="0"/>
        <w:spacing w:line="360" w:lineRule="auto"/>
        <w:ind w:firstLine="420" w:firstLineChars="200"/>
        <w:rPr>
          <w:rFonts w:hint="eastAsia" w:cs="FangSong_GB2312"/>
        </w:rPr>
      </w:pPr>
      <w:r>
        <w:rPr>
          <w:rFonts w:hint="eastAsia" w:cs="FangSong_GB2312"/>
        </w:rPr>
        <w:t>4、《济南市2019-2020年垃圾分类工作实施方案》“垃圾分类投放、分类收集、分类运输设施设备要符合密闭、机械化作业要求，颜色、标识统一规范。”</w:t>
      </w:r>
    </w:p>
    <w:p w14:paraId="776D02A1">
      <w:pPr>
        <w:adjustRightInd w:val="0"/>
        <w:snapToGrid w:val="0"/>
        <w:spacing w:line="360" w:lineRule="auto"/>
        <w:ind w:firstLine="420" w:firstLineChars="200"/>
        <w:rPr>
          <w:rFonts w:hint="eastAsia" w:cs="FangSong_GB2312"/>
        </w:rPr>
      </w:pPr>
      <w:r>
        <w:rPr>
          <w:rFonts w:hint="eastAsia" w:cs="FangSong_GB2312"/>
        </w:rPr>
        <w:t xml:space="preserve">（六）人防设施设计规范要求 </w:t>
      </w:r>
    </w:p>
    <w:p w14:paraId="36F0CDF8">
      <w:pPr>
        <w:adjustRightInd w:val="0"/>
        <w:snapToGrid w:val="0"/>
        <w:spacing w:line="360" w:lineRule="auto"/>
        <w:ind w:firstLine="420" w:firstLineChars="200"/>
        <w:rPr>
          <w:rFonts w:hint="eastAsia" w:cs="FangSong_GB2312"/>
        </w:rPr>
      </w:pPr>
      <w:r>
        <w:rPr>
          <w:rFonts w:hint="eastAsia" w:cs="FangSong_GB2312"/>
        </w:rPr>
        <w:t>1、《人民防空法》第二十二条；</w:t>
      </w:r>
    </w:p>
    <w:p w14:paraId="29575D35">
      <w:pPr>
        <w:adjustRightInd w:val="0"/>
        <w:snapToGrid w:val="0"/>
        <w:spacing w:line="360" w:lineRule="auto"/>
        <w:ind w:firstLine="420" w:firstLineChars="200"/>
        <w:rPr>
          <w:rFonts w:hint="eastAsia" w:cs="FangSong_GB2312"/>
        </w:rPr>
      </w:pPr>
      <w:r>
        <w:rPr>
          <w:rFonts w:hint="eastAsia" w:cs="FangSong_GB2312"/>
        </w:rPr>
        <w:t>2、《山东省实施〈人民防空法〉办法》第十六条；</w:t>
      </w:r>
    </w:p>
    <w:p w14:paraId="60930C37">
      <w:pPr>
        <w:adjustRightInd w:val="0"/>
        <w:snapToGrid w:val="0"/>
        <w:spacing w:line="360" w:lineRule="auto"/>
        <w:ind w:firstLine="420" w:firstLineChars="200"/>
        <w:rPr>
          <w:rFonts w:hint="eastAsia" w:cs="FangSong_GB2312"/>
        </w:rPr>
      </w:pPr>
      <w:r>
        <w:rPr>
          <w:rFonts w:hint="eastAsia" w:cs="FangSong_GB2312"/>
        </w:rPr>
        <w:t>3、《人民防空工程建设管理规定》第四十七条第二款；</w:t>
      </w:r>
    </w:p>
    <w:p w14:paraId="57FE9BF3">
      <w:pPr>
        <w:adjustRightInd w:val="0"/>
        <w:snapToGrid w:val="0"/>
        <w:spacing w:line="360" w:lineRule="auto"/>
        <w:ind w:firstLine="420" w:firstLineChars="200"/>
        <w:rPr>
          <w:rFonts w:hint="eastAsia" w:cs="FangSong_GB2312"/>
        </w:rPr>
      </w:pPr>
      <w:r>
        <w:rPr>
          <w:rFonts w:hint="eastAsia" w:cs="FangSong_GB2312"/>
        </w:rPr>
        <w:t>4、《山东省人防工程建设管理办法》第十条、第十二条。</w:t>
      </w:r>
    </w:p>
    <w:p w14:paraId="5E6C7725">
      <w:pPr>
        <w:numPr>
          <w:ilvl w:val="0"/>
          <w:numId w:val="2"/>
        </w:numPr>
        <w:spacing w:line="360" w:lineRule="auto"/>
        <w:rPr>
          <w:rFonts w:cs="FangSong_GB2312"/>
          <w:b/>
          <w:bCs/>
        </w:rPr>
      </w:pPr>
      <w:r>
        <w:rPr>
          <w:rFonts w:hint="eastAsia" w:cs="FangSong_GB2312"/>
          <w:b/>
          <w:bCs/>
        </w:rPr>
        <w:t>准予审批服务应当具备的条件、标准和技术要求：</w:t>
      </w:r>
    </w:p>
    <w:p w14:paraId="3358FBC1">
      <w:pPr>
        <w:spacing w:line="360" w:lineRule="auto"/>
        <w:ind w:right="17" w:rightChars="8" w:firstLine="422" w:firstLineChars="200"/>
        <w:rPr>
          <w:rFonts w:ascii="FangSong_GB2312"/>
          <w:b/>
          <w:bCs/>
        </w:rPr>
      </w:pPr>
      <w:r>
        <w:rPr>
          <w:rFonts w:hint="eastAsia" w:ascii="FangSong_GB2312"/>
          <w:b/>
          <w:bCs/>
        </w:rPr>
        <w:t>（一）因工程建设需要拆除、改动、迁移供水、排水与污水处理设施审批；生产建设项目水土保持方案审批</w:t>
      </w:r>
    </w:p>
    <w:p w14:paraId="57FC45DC">
      <w:pPr>
        <w:adjustRightInd w:val="0"/>
        <w:snapToGrid w:val="0"/>
        <w:spacing w:line="360" w:lineRule="auto"/>
        <w:ind w:firstLine="420" w:firstLineChars="200"/>
        <w:rPr>
          <w:rFonts w:cs="FangSong_GB2312"/>
        </w:rPr>
      </w:pPr>
      <w:r>
        <w:rPr>
          <w:rFonts w:hint="eastAsia" w:cs="FangSong_GB2312"/>
        </w:rPr>
        <w:t>1、排水设计方案应符合排水设计规范及《城镇排水与污水处理条例》相关要求；依据山东省住房城乡建设厅、生态环境厅、发展改革委《关于开展城市污水处理提质增效三年行动的通知》（鲁建城建字【2019】26号），可取消项目内部化粪池。排水管线施工应符合标准、规范要求，确保工程质量。在施工中应妥善处理雨、污水及施工降水排放，不得影响周边生活、生产及环境，严禁施工降水排入污水管网。</w:t>
      </w:r>
    </w:p>
    <w:p w14:paraId="1DDA6ACC">
      <w:pPr>
        <w:adjustRightInd w:val="0"/>
        <w:snapToGrid w:val="0"/>
        <w:spacing w:line="360" w:lineRule="auto"/>
        <w:ind w:firstLine="420" w:firstLineChars="200"/>
        <w:rPr>
          <w:rFonts w:cs="FangSong_GB2312"/>
        </w:rPr>
      </w:pPr>
      <w:r>
        <w:rPr>
          <w:rFonts w:hint="eastAsia" w:cs="FangSong_GB2312"/>
        </w:rPr>
        <w:t>2、项目内须按照雨、污分流设计。红线内硬化路面须设置雨水收集设施，减少积水、内涝，雨水有效收集后顺畅接入市政雨水管网或周边河道等水体内，降低雨水地面径流，防止城市下游积涝；在项目正式投入使用时，若周边市政管网未完善，污水须自行处理，污水处理站的出水应处理达标后按要求排放。待周边市政管网完善后，可以申请接入市政污水管网；若该项目建成时周边污水管网完善贯通，污水根据排水性质要求达标后直接接入市政污水管网。若项目涉及食堂、餐饮须设置隔油池。</w:t>
      </w:r>
    </w:p>
    <w:p w14:paraId="1ADE442E">
      <w:pPr>
        <w:adjustRightInd w:val="0"/>
        <w:snapToGrid w:val="0"/>
        <w:spacing w:line="360" w:lineRule="auto"/>
        <w:ind w:firstLine="420" w:firstLineChars="200"/>
        <w:rPr>
          <w:rFonts w:cs="FangSong_GB2312"/>
        </w:rPr>
      </w:pPr>
      <w:r>
        <w:rPr>
          <w:rFonts w:hint="eastAsia" w:cs="FangSong_GB2312"/>
        </w:rPr>
        <w:t>3、开办扰动地表、损坏植被、挖填土石方等可能造成水土流失的生产建设项目，生产建设单位应当编制水土保持方案，并且符合《开发建设项目水土保持方案技术规范》(GB50433-2018)、《开发建设项目水土流失防治标准》(GB50434-2018)。水土保持方案经批准后，生产建设项目的地点、规模发生重大变化或者水土保持措施需要作出重大变更的，应当报原审批机关批准。</w:t>
      </w:r>
    </w:p>
    <w:p w14:paraId="4FFBF5BA">
      <w:pPr>
        <w:adjustRightInd w:val="0"/>
        <w:snapToGrid w:val="0"/>
        <w:spacing w:line="360" w:lineRule="auto"/>
        <w:ind w:firstLine="422" w:firstLineChars="200"/>
        <w:rPr>
          <w:rFonts w:cs="FangSong_GB2312"/>
          <w:b/>
          <w:bCs/>
        </w:rPr>
      </w:pPr>
      <w:r>
        <w:rPr>
          <w:rFonts w:hint="eastAsia" w:cs="FangSong_GB2312"/>
          <w:b/>
          <w:bCs/>
        </w:rPr>
        <w:t>（二）新建扩建改建工程节水设施设计方案审查</w:t>
      </w:r>
    </w:p>
    <w:p w14:paraId="19DE5797">
      <w:pPr>
        <w:adjustRightInd w:val="0"/>
        <w:snapToGrid w:val="0"/>
        <w:spacing w:line="360" w:lineRule="auto"/>
        <w:ind w:firstLine="420" w:firstLineChars="200"/>
        <w:rPr>
          <w:rFonts w:cs="FangSong_GB2312"/>
        </w:rPr>
      </w:pPr>
      <w:r>
        <w:rPr>
          <w:rFonts w:hint="eastAsia" w:cs="FangSong_GB2312"/>
        </w:rPr>
        <w:t>1、申报项目应当编制节水措施方案，配套建设相应的节水设施，有两个以上水源、两类以上不同用途用水或者两个以上用水单元的，在取水口和分水口分别安装用水计量设施，结合项目总体开发规模制定综合节水方案；</w:t>
      </w:r>
    </w:p>
    <w:p w14:paraId="7F47DF6B">
      <w:pPr>
        <w:adjustRightInd w:val="0"/>
        <w:snapToGrid w:val="0"/>
        <w:spacing w:line="360" w:lineRule="auto"/>
        <w:ind w:firstLine="420" w:firstLineChars="200"/>
        <w:rPr>
          <w:rFonts w:cs="FangSong_GB2312"/>
        </w:rPr>
      </w:pPr>
      <w:r>
        <w:rPr>
          <w:rFonts w:hint="eastAsia" w:cs="FangSong_GB2312"/>
        </w:rPr>
        <w:t>2、申报项目应设计、安装使用带有节水标识的节水型用水器具；</w:t>
      </w:r>
    </w:p>
    <w:p w14:paraId="4169BB45">
      <w:pPr>
        <w:adjustRightInd w:val="0"/>
        <w:snapToGrid w:val="0"/>
        <w:spacing w:line="360" w:lineRule="auto"/>
        <w:ind w:firstLine="420" w:firstLineChars="200"/>
        <w:rPr>
          <w:rFonts w:cs="FangSong_GB2312"/>
        </w:rPr>
      </w:pPr>
      <w:r>
        <w:rPr>
          <w:rFonts w:hint="eastAsia" w:cs="FangSong_GB2312"/>
        </w:rPr>
        <w:t>3、按照《济南市节约用水条例》第三十二条要求应当配套建设中水设施（含多地块项目宜建设一个规模较大的中水设施）的，确保中水设施与主体工程同时设计、同时施工、同时投入使用。中水设施处理规模（中水处理量）应按照《民用建筑节水设计标准（GB50555-2010）》《建筑中水设计标准（GB50336-2018）》的规定和要求合理确定，满足冲厕、绿化、水景观、道路（车库、广场）清洁喷洒等再生水利用的区域使用；中水设施的处理工艺选取应保障处理后的中水能够达到中水利用水质标准，用于冲厕、道路浇洒、消防、绿化、车辆冲洗、建筑施工中水水质应符合《城市污水再生利用 城市杂用水质》(GB/T18920-2002)标准，用于景观用水的中水水质应符合《城市污水再生利用 景观环境用水水质》(GB／T 18921－2002)标准；中水设施的设计、施工应符合《建筑中水设计标准要求（GB50336-2018）》相关技术规范及标准要求。</w:t>
      </w:r>
    </w:p>
    <w:p w14:paraId="7400342A">
      <w:pPr>
        <w:adjustRightInd w:val="0"/>
        <w:snapToGrid w:val="0"/>
        <w:spacing w:line="360" w:lineRule="auto"/>
        <w:ind w:firstLine="420" w:firstLineChars="200"/>
        <w:rPr>
          <w:rFonts w:cs="FangSong_GB2312"/>
        </w:rPr>
      </w:pPr>
      <w:r>
        <w:rPr>
          <w:rFonts w:hint="eastAsia" w:cs="FangSong_GB2312"/>
        </w:rPr>
        <w:t>4、再生水管网覆盖的区域，不再配建中水设施，与项目周边再生水利用管网联通，应当使用再生水。项目应设计、建设再生水利用管网，再生水利用管网的管径、材质须满足供水压力和水量要求，应延伸至项目绿化、水景观、道路（车库、广场）地面冲洗和冲厕等再生水利用的区域。</w:t>
      </w:r>
    </w:p>
    <w:p w14:paraId="30A16B2B">
      <w:pPr>
        <w:adjustRightInd w:val="0"/>
        <w:snapToGrid w:val="0"/>
        <w:spacing w:line="360" w:lineRule="auto"/>
        <w:ind w:firstLine="422" w:firstLineChars="200"/>
        <w:rPr>
          <w:rFonts w:cs="FangSong_GB2312"/>
        </w:rPr>
      </w:pPr>
      <w:r>
        <w:rPr>
          <w:rFonts w:hint="eastAsia" w:ascii="FangSong_GB2312"/>
          <w:b/>
          <w:bCs/>
        </w:rPr>
        <w:t>（</w:t>
      </w:r>
      <w:r>
        <w:rPr>
          <w:rFonts w:hint="eastAsia" w:cs="FangSong_GB2312"/>
          <w:b/>
          <w:bCs/>
        </w:rPr>
        <w:t>三）城市建筑垃圾处置核准准予审批服务应当具备的条件、标准和技术要求</w:t>
      </w:r>
    </w:p>
    <w:p w14:paraId="1655A844">
      <w:pPr>
        <w:adjustRightInd w:val="0"/>
        <w:snapToGrid w:val="0"/>
        <w:spacing w:line="360" w:lineRule="auto"/>
        <w:ind w:firstLine="420" w:firstLineChars="200"/>
        <w:rPr>
          <w:rFonts w:cs="FangSong_GB2312"/>
        </w:rPr>
      </w:pPr>
      <w:r>
        <w:rPr>
          <w:rFonts w:hint="eastAsia" w:cs="FangSong_GB2312"/>
        </w:rPr>
        <w:t>1、排放建筑垃圾的建设工程的建设单位和拆除工程组织实施单位，应当在工程开工前向审批部门提交建筑垃圾分类处置方案和核算建筑垃圾排放量的相关资料，申请建筑垃圾处置核准。</w:t>
      </w:r>
    </w:p>
    <w:p w14:paraId="1C31C7FA">
      <w:pPr>
        <w:adjustRightInd w:val="0"/>
        <w:snapToGrid w:val="0"/>
        <w:spacing w:line="360" w:lineRule="auto"/>
        <w:ind w:firstLine="420" w:firstLineChars="200"/>
        <w:rPr>
          <w:rFonts w:cs="FangSong_GB2312"/>
        </w:rPr>
      </w:pPr>
      <w:r>
        <w:rPr>
          <w:rFonts w:hint="eastAsia" w:cs="FangSong_GB2312"/>
        </w:rPr>
        <w:t>2、如建筑垃圾处置核准内容发生变化，申请人应当及时向原审批机关提出变更申请。</w:t>
      </w:r>
    </w:p>
    <w:p w14:paraId="04AB7CD2">
      <w:pPr>
        <w:adjustRightInd w:val="0"/>
        <w:snapToGrid w:val="0"/>
        <w:spacing w:line="360" w:lineRule="auto"/>
        <w:ind w:firstLine="420" w:firstLineChars="200"/>
        <w:rPr>
          <w:rFonts w:cs="FangSong_GB2312"/>
        </w:rPr>
      </w:pPr>
      <w:r>
        <w:rPr>
          <w:rFonts w:hint="eastAsia" w:cs="FangSong_GB2312"/>
        </w:rPr>
        <w:t>3、处置建筑垃圾时应做到安全施工、文明施工，具有防尘降尘等措施并有效执行，服从监管部门的现场管理。</w:t>
      </w:r>
    </w:p>
    <w:p w14:paraId="1CD52695">
      <w:pPr>
        <w:adjustRightInd w:val="0"/>
        <w:snapToGrid w:val="0"/>
        <w:spacing w:line="360" w:lineRule="auto"/>
        <w:ind w:firstLine="420" w:firstLineChars="200"/>
        <w:rPr>
          <w:rFonts w:cs="FangSong_GB2312"/>
        </w:rPr>
      </w:pPr>
      <w:r>
        <w:rPr>
          <w:rFonts w:hint="eastAsia" w:cs="FangSong_GB2312"/>
        </w:rPr>
        <w:t>4、相关施工手续完备后，方可处置建筑垃圾。</w:t>
      </w:r>
    </w:p>
    <w:p w14:paraId="7BBDFB35">
      <w:pPr>
        <w:adjustRightInd w:val="0"/>
        <w:snapToGrid w:val="0"/>
        <w:spacing w:line="360" w:lineRule="auto"/>
        <w:ind w:firstLine="422" w:firstLineChars="200"/>
        <w:rPr>
          <w:rFonts w:cs="FangSong_GB2312"/>
          <w:b/>
          <w:bCs/>
        </w:rPr>
      </w:pPr>
      <w:r>
        <w:rPr>
          <w:rFonts w:hint="eastAsia" w:cs="FangSong_GB2312"/>
          <w:b/>
          <w:bCs/>
        </w:rPr>
        <w:t>（四）建设工程抗震设防要求确定准予审批服务应当具备的条件、标准和技术要求</w:t>
      </w:r>
    </w:p>
    <w:p w14:paraId="5C483716">
      <w:pPr>
        <w:adjustRightInd w:val="0"/>
        <w:snapToGrid w:val="0"/>
        <w:spacing w:line="360" w:lineRule="auto"/>
        <w:ind w:firstLine="420" w:firstLineChars="200"/>
        <w:rPr>
          <w:rFonts w:cs="FangSong_GB2312"/>
        </w:rPr>
      </w:pPr>
      <w:r>
        <w:rPr>
          <w:rFonts w:hint="eastAsia" w:cs="FangSong_GB2312"/>
        </w:rPr>
        <w:t>1、建设项目已在发改委审批、核准或备案；已经明确建设用地规划条件或已经领取建设工程规划设计要求通知书。</w:t>
      </w:r>
    </w:p>
    <w:p w14:paraId="08C580E4">
      <w:pPr>
        <w:adjustRightInd w:val="0"/>
        <w:snapToGrid w:val="0"/>
        <w:spacing w:line="360" w:lineRule="auto"/>
        <w:ind w:firstLine="420" w:firstLineChars="200"/>
        <w:rPr>
          <w:rFonts w:cs="FangSong_GB2312"/>
        </w:rPr>
      </w:pPr>
      <w:r>
        <w:rPr>
          <w:rFonts w:hint="eastAsia" w:cs="FangSong_GB2312"/>
        </w:rPr>
        <w:t>2、已根据规划条件组织制定了建设工程设计方案。</w:t>
      </w:r>
    </w:p>
    <w:p w14:paraId="656628FD">
      <w:pPr>
        <w:adjustRightInd w:val="0"/>
        <w:snapToGrid w:val="0"/>
        <w:spacing w:line="360" w:lineRule="auto"/>
        <w:ind w:firstLine="420" w:firstLineChars="200"/>
        <w:rPr>
          <w:rFonts w:cs="FangSong_GB2312"/>
        </w:rPr>
      </w:pPr>
      <w:r>
        <w:rPr>
          <w:rFonts w:hint="eastAsia" w:cs="FangSong_GB2312"/>
        </w:rPr>
        <w:t>3、该建设项目抗震设防要求应按照《山东省建设工程抗震设防条例》第十条规定，依据国家标准GB18306-2015《中国地震动参数区划图》予以确定。</w:t>
      </w:r>
    </w:p>
    <w:p w14:paraId="7F21765F">
      <w:pPr>
        <w:adjustRightInd w:val="0"/>
        <w:snapToGrid w:val="0"/>
        <w:spacing w:line="360" w:lineRule="auto"/>
        <w:ind w:firstLine="422" w:firstLineChars="200"/>
        <w:rPr>
          <w:rFonts w:cs="FangSong_GB2312"/>
          <w:b/>
          <w:bCs/>
        </w:rPr>
      </w:pPr>
      <w:r>
        <w:rPr>
          <w:rFonts w:hint="eastAsia" w:cs="FangSong_GB2312"/>
          <w:b/>
          <w:bCs/>
        </w:rPr>
        <w:t>（五）城区建设项目配套环卫设施设计审查需提供环卫设施备案图纸并符合以下要求</w:t>
      </w:r>
    </w:p>
    <w:p w14:paraId="7BF03D3D">
      <w:pPr>
        <w:adjustRightInd w:val="0"/>
        <w:snapToGrid w:val="0"/>
        <w:spacing w:line="360" w:lineRule="auto"/>
        <w:ind w:firstLine="420" w:firstLineChars="200"/>
        <w:rPr>
          <w:rFonts w:cs="FangSong_GB2312"/>
        </w:rPr>
      </w:pPr>
      <w:r>
        <w:rPr>
          <w:rFonts w:hint="eastAsia" w:cs="FangSong_GB2312"/>
        </w:rPr>
        <w:t>1、项目需按照《环境卫生设施设置标准》（CJJ27-2012）、《城市环境卫生设施规划标准》 （GB50337-2018）、《城市公共厕所规划和设计标准》（CJJ14-2016）、《生活垃圾收集站技术规程》（CJJ179-2012）、《生活垃圾转运站技术规范》》（CJJT 47-2016 ）、《餐厨垃圾处理技术规范》（CJJ184-2012）等标准、规范要求配建以下环卫设施：公共厕所、垃圾转运站、垃圾收集站、垃圾收集点、果皮箱等环卫设施。</w:t>
      </w:r>
    </w:p>
    <w:p w14:paraId="3C736E5D">
      <w:pPr>
        <w:adjustRightInd w:val="0"/>
        <w:snapToGrid w:val="0"/>
        <w:spacing w:line="360" w:lineRule="auto"/>
        <w:ind w:firstLine="420" w:firstLineChars="200"/>
        <w:rPr>
          <w:rFonts w:cs="FangSong_GB2312"/>
        </w:rPr>
      </w:pPr>
      <w:r>
        <w:rPr>
          <w:rFonts w:hint="eastAsia" w:cs="FangSong_GB2312"/>
        </w:rPr>
        <w:t>2、需提供环卫设施备案图纸并符合以下要求：</w:t>
      </w:r>
    </w:p>
    <w:p w14:paraId="50F6FA83">
      <w:pPr>
        <w:adjustRightInd w:val="0"/>
        <w:snapToGrid w:val="0"/>
        <w:spacing w:line="360" w:lineRule="auto"/>
        <w:ind w:firstLine="420" w:firstLineChars="200"/>
        <w:rPr>
          <w:rFonts w:cs="FangSong_GB2312"/>
        </w:rPr>
      </w:pPr>
      <w:r>
        <w:rPr>
          <w:rFonts w:hint="eastAsia" w:cs="FangSong_GB2312"/>
        </w:rPr>
        <w:t>（1）项目总规划方案平面图（1份纸质复印件及CAD电子版），要求：①申报设计图纸上应有规划方案图上加盖规划局方章；②电子报建数据指标应与申请表及方案文本一致并带有电子签章；</w:t>
      </w:r>
    </w:p>
    <w:p w14:paraId="17A2F8DE">
      <w:pPr>
        <w:adjustRightInd w:val="0"/>
        <w:snapToGrid w:val="0"/>
        <w:spacing w:line="360" w:lineRule="auto"/>
        <w:ind w:firstLine="420" w:firstLineChars="200"/>
        <w:rPr>
          <w:rFonts w:cs="FangSong_GB2312"/>
        </w:rPr>
      </w:pPr>
      <w:r>
        <w:rPr>
          <w:rFonts w:hint="eastAsia" w:cs="FangSong_GB2312"/>
        </w:rPr>
        <w:t>（2）配套建设的环卫设施建筑施工图（1份纸质复印件及CAD电子版）要求：①包括垃圾站（密闭式垃圾分类收集点）平、立、剖建筑图及内部设备方案图（垃圾收集设备、上下水、强弱电、通风、除臭、除尘、消防、防雷等必要设施）；首层公厕所在楼层建筑平面图；②垃圾压缩箱、通风、除臭、渗滤液处理等专项机械设备设计方案需与建设图纸相匹配。②申报设计图纸上应加盖设计单位、建设单位公章；</w:t>
      </w:r>
    </w:p>
    <w:p w14:paraId="068F6AA5">
      <w:pPr>
        <w:adjustRightInd w:val="0"/>
        <w:snapToGrid w:val="0"/>
        <w:spacing w:line="360" w:lineRule="auto"/>
        <w:ind w:firstLine="420" w:firstLineChars="200"/>
        <w:rPr>
          <w:rFonts w:cs="FangSong_GB2312"/>
        </w:rPr>
      </w:pPr>
      <w:r>
        <w:rPr>
          <w:rFonts w:hint="eastAsia" w:cs="FangSong_GB2312"/>
        </w:rPr>
        <w:t>（3）配套建设的环卫设施建设情况专项说明（1份纸质复印件原件电子扫描件）要求：①分期、分地块开发的建设项目写明建设项目总占地面积、总居住人数（商业、办公项目按使用功能分别统计建筑面积）；②需要设置配套环卫设施的具体情况，若干项目联合设置的环卫设施具体位置和建设规模并确保与首期项目主体同步验收；③建设单位盖公章套单位红头文件</w:t>
      </w:r>
    </w:p>
    <w:p w14:paraId="7CDD4BC1">
      <w:pPr>
        <w:adjustRightInd w:val="0"/>
        <w:snapToGrid w:val="0"/>
        <w:spacing w:line="360" w:lineRule="auto"/>
        <w:ind w:firstLine="422" w:firstLineChars="200"/>
        <w:rPr>
          <w:rFonts w:ascii="FangSong_GB2312"/>
          <w:b/>
          <w:bCs/>
        </w:rPr>
      </w:pPr>
      <w:r>
        <w:rPr>
          <w:rFonts w:hint="eastAsia" w:ascii="FangSong_GB2312"/>
          <w:b/>
          <w:bCs/>
        </w:rPr>
        <w:t>（六）人防设施设计规范要求</w:t>
      </w:r>
    </w:p>
    <w:p w14:paraId="47ECD249">
      <w:pPr>
        <w:adjustRightInd w:val="0"/>
        <w:snapToGrid w:val="0"/>
        <w:spacing w:line="360" w:lineRule="auto"/>
        <w:ind w:firstLine="420" w:firstLineChars="200"/>
        <w:rPr>
          <w:rFonts w:cs="FangSong_GB2312"/>
        </w:rPr>
      </w:pPr>
      <w:r>
        <w:rPr>
          <w:rFonts w:hint="eastAsia" w:cs="FangSong_GB2312"/>
        </w:rPr>
        <w:t>项目人防工程设计应符合《中华人民共和国人民防空法》、《山东省实施＜中华人民共和国人民防空法＞办法》、《人民防空工程战术技术要求》、《济南市城市地下空间管理办法》、《济南市人民防空工程管理实施细则》等法律、法规、文件的要求。</w:t>
      </w:r>
    </w:p>
    <w:p w14:paraId="025A084B">
      <w:pPr>
        <w:adjustRightInd w:val="0"/>
        <w:snapToGrid w:val="0"/>
        <w:spacing w:line="360" w:lineRule="auto"/>
        <w:ind w:firstLine="422" w:firstLineChars="200"/>
        <w:rPr>
          <w:rFonts w:cs="FangSong_GB2312"/>
          <w:b/>
          <w:bCs/>
        </w:rPr>
      </w:pPr>
      <w:r>
        <w:rPr>
          <w:rFonts w:hint="eastAsia" w:cs="FangSong_GB2312"/>
          <w:b/>
          <w:bCs/>
        </w:rPr>
        <w:t>四、需要申请人实施告知承诺的期限：</w:t>
      </w:r>
    </w:p>
    <w:p w14:paraId="6D71C990">
      <w:pPr>
        <w:adjustRightInd w:val="0"/>
        <w:snapToGrid w:val="0"/>
        <w:spacing w:line="360" w:lineRule="auto"/>
        <w:ind w:firstLine="422" w:firstLineChars="200"/>
        <w:rPr>
          <w:rFonts w:cs="FangSong_GB2312"/>
          <w:b/>
          <w:bCs/>
        </w:rPr>
      </w:pPr>
      <w:r>
        <w:rPr>
          <w:rFonts w:hint="eastAsia" w:cs="FangSong_GB2312"/>
          <w:b/>
          <w:bCs/>
        </w:rPr>
        <w:t>（一）因工程建设需要拆除、改动、迁移供水、排水与污水处理设施审批，生产建设项目水土保持方案审批</w:t>
      </w:r>
    </w:p>
    <w:p w14:paraId="0BA9A0DC">
      <w:pPr>
        <w:adjustRightInd w:val="0"/>
        <w:snapToGrid w:val="0"/>
        <w:spacing w:line="360" w:lineRule="auto"/>
        <w:ind w:firstLine="420" w:firstLineChars="200"/>
        <w:rPr>
          <w:rFonts w:cs="FangSong_GB2312"/>
        </w:rPr>
      </w:pPr>
      <w:r>
        <w:rPr>
          <w:rFonts w:hint="eastAsia" w:cs="FangSong_GB2312"/>
        </w:rPr>
        <w:t>1、因工程建设需要拆除、改动、迁移供水、排水与污水处理设施审批，申请人提交告知承诺后须在项目竣工验收前三十个工作日落实告知要求。</w:t>
      </w:r>
    </w:p>
    <w:p w14:paraId="39B131EE">
      <w:pPr>
        <w:adjustRightInd w:val="0"/>
        <w:snapToGrid w:val="0"/>
        <w:spacing w:line="360" w:lineRule="auto"/>
        <w:ind w:firstLine="420" w:firstLineChars="200"/>
        <w:rPr>
          <w:rFonts w:cs="FangSong_GB2312"/>
        </w:rPr>
      </w:pPr>
      <w:r>
        <w:rPr>
          <w:rFonts w:hint="eastAsia" w:cs="FangSong_GB2312"/>
        </w:rPr>
        <w:t>2、生产建设项目水土保持方案审批，申请人提交告知承诺后须在项目开工前落实告知要求。</w:t>
      </w:r>
    </w:p>
    <w:p w14:paraId="558A111A">
      <w:pPr>
        <w:adjustRightInd w:val="0"/>
        <w:snapToGrid w:val="0"/>
        <w:spacing w:line="360" w:lineRule="auto"/>
        <w:ind w:firstLine="422" w:firstLineChars="200"/>
        <w:rPr>
          <w:rFonts w:cs="FangSong_GB2312"/>
          <w:b/>
          <w:bCs/>
        </w:rPr>
      </w:pPr>
      <w:r>
        <w:rPr>
          <w:rFonts w:hint="eastAsia" w:cs="FangSong_GB2312"/>
          <w:b/>
          <w:bCs/>
        </w:rPr>
        <w:t>（二）新建扩建改建工程节水设施设计方案审查</w:t>
      </w:r>
    </w:p>
    <w:p w14:paraId="6314F71F">
      <w:pPr>
        <w:adjustRightInd w:val="0"/>
        <w:snapToGrid w:val="0"/>
        <w:spacing w:line="360" w:lineRule="auto"/>
        <w:ind w:firstLine="420" w:firstLineChars="200"/>
        <w:rPr>
          <w:rFonts w:cs="FangSong_GB2312"/>
        </w:rPr>
      </w:pPr>
      <w:r>
        <w:rPr>
          <w:rFonts w:hint="eastAsia" w:cs="FangSong_GB2312"/>
        </w:rPr>
        <w:t>1、申请人提交告知承诺后须在项目竣工验收前三十个工作日落实告知要求。</w:t>
      </w:r>
    </w:p>
    <w:p w14:paraId="648862AB">
      <w:pPr>
        <w:adjustRightInd w:val="0"/>
        <w:snapToGrid w:val="0"/>
        <w:spacing w:line="360" w:lineRule="auto"/>
        <w:ind w:firstLine="422" w:firstLineChars="200"/>
        <w:rPr>
          <w:rFonts w:cs="FangSong_GB2312"/>
          <w:b/>
          <w:bCs/>
        </w:rPr>
      </w:pPr>
      <w:r>
        <w:rPr>
          <w:rFonts w:hint="eastAsia" w:cs="FangSong_GB2312"/>
          <w:b/>
          <w:bCs/>
        </w:rPr>
        <w:t>（三）城市建筑垃圾处置核准需要申请人实施告知承诺的期限</w:t>
      </w:r>
    </w:p>
    <w:p w14:paraId="3D6375A7">
      <w:pPr>
        <w:adjustRightInd w:val="0"/>
        <w:snapToGrid w:val="0"/>
        <w:spacing w:line="360" w:lineRule="auto"/>
        <w:ind w:firstLine="420" w:firstLineChars="200"/>
        <w:rPr>
          <w:rFonts w:cs="FangSong_GB2312"/>
        </w:rPr>
      </w:pPr>
      <w:r>
        <w:rPr>
          <w:rFonts w:hint="eastAsia" w:cs="FangSong_GB2312"/>
        </w:rPr>
        <w:t>1、城市建筑垃圾处置核准审批事项，申请人提交告知承诺后在开工前7个工作日前落实告知要求。</w:t>
      </w:r>
    </w:p>
    <w:p w14:paraId="0CC027A8">
      <w:pPr>
        <w:adjustRightInd w:val="0"/>
        <w:snapToGrid w:val="0"/>
        <w:spacing w:line="360" w:lineRule="auto"/>
        <w:ind w:firstLine="422" w:firstLineChars="200"/>
        <w:rPr>
          <w:rFonts w:cs="FangSong_GB2312"/>
          <w:b/>
          <w:bCs/>
        </w:rPr>
      </w:pPr>
      <w:r>
        <w:rPr>
          <w:rFonts w:hint="eastAsia" w:cs="FangSong_GB2312"/>
          <w:b/>
          <w:bCs/>
        </w:rPr>
        <w:t>（四）建设工程抗震设防要求确定需要申请人实施告知承诺的期限</w:t>
      </w:r>
    </w:p>
    <w:p w14:paraId="53BD9223">
      <w:pPr>
        <w:adjustRightInd w:val="0"/>
        <w:snapToGrid w:val="0"/>
        <w:spacing w:line="360" w:lineRule="auto"/>
        <w:ind w:firstLine="420" w:firstLineChars="200"/>
        <w:rPr>
          <w:rFonts w:cs="FangSong_GB2312"/>
        </w:rPr>
      </w:pPr>
      <w:r>
        <w:rPr>
          <w:rFonts w:hint="eastAsia" w:cs="FangSong_GB2312"/>
        </w:rPr>
        <w:t>1、申请人提交告知承诺后须在项目开工前落实告知要求。</w:t>
      </w:r>
    </w:p>
    <w:p w14:paraId="46B6FB40">
      <w:pPr>
        <w:adjustRightInd w:val="0"/>
        <w:snapToGrid w:val="0"/>
        <w:spacing w:line="360" w:lineRule="auto"/>
        <w:ind w:firstLine="422" w:firstLineChars="200"/>
        <w:rPr>
          <w:rFonts w:cs="FangSong_GB2312"/>
          <w:b/>
          <w:bCs/>
        </w:rPr>
      </w:pPr>
      <w:r>
        <w:rPr>
          <w:rFonts w:hint="eastAsia" w:cs="FangSong_GB2312"/>
          <w:b/>
          <w:bCs/>
        </w:rPr>
        <w:t>（五）、城区建设项目配套环卫设施设计审查需要申请人实施告知承诺的期限</w:t>
      </w:r>
    </w:p>
    <w:p w14:paraId="6082742B">
      <w:pPr>
        <w:adjustRightInd w:val="0"/>
        <w:snapToGrid w:val="0"/>
        <w:spacing w:line="360" w:lineRule="auto"/>
        <w:ind w:firstLine="420" w:firstLineChars="200"/>
        <w:rPr>
          <w:rFonts w:ascii="FangSong_GB2312"/>
        </w:rPr>
      </w:pPr>
      <w:r>
        <w:rPr>
          <w:rFonts w:hint="eastAsia" w:cs="FangSong_GB2312"/>
        </w:rPr>
        <w:t>1、在规划方案审查阶段返回本告知承诺书时同步提交项目环卫</w:t>
      </w:r>
      <w:r>
        <w:rPr>
          <w:rFonts w:hint="eastAsia" w:ascii="FangSong_GB2312"/>
        </w:rPr>
        <w:t xml:space="preserve">设施方案设计资料。 </w:t>
      </w:r>
    </w:p>
    <w:p w14:paraId="76BC2AA5">
      <w:pPr>
        <w:adjustRightInd w:val="0"/>
        <w:snapToGrid w:val="0"/>
        <w:spacing w:line="360" w:lineRule="auto"/>
        <w:ind w:firstLine="420" w:firstLineChars="200"/>
        <w:rPr>
          <w:rFonts w:cs="FangSong_GB2312"/>
        </w:rPr>
      </w:pPr>
      <w:r>
        <w:rPr>
          <w:rFonts w:hint="eastAsia" w:cs="FangSong_GB2312"/>
        </w:rPr>
        <w:t xml:space="preserve">2、在办理建筑工程施工许可时同步提交环卫设施施工图及备案资料。 </w:t>
      </w:r>
    </w:p>
    <w:p w14:paraId="10B4FD7B">
      <w:pPr>
        <w:adjustRightInd w:val="0"/>
        <w:snapToGrid w:val="0"/>
        <w:spacing w:line="360" w:lineRule="auto"/>
        <w:ind w:firstLine="420" w:firstLineChars="200"/>
        <w:rPr>
          <w:rFonts w:hint="eastAsia" w:ascii="黑体" w:hAnsi="黑体" w:eastAsia="黑体" w:cs="黑体"/>
          <w:color w:val="0000FF"/>
          <w:sz w:val="32"/>
          <w:szCs w:val="32"/>
          <w:lang w:val="en-US" w:eastAsia="zh-CN"/>
        </w:rPr>
      </w:pPr>
      <w:r>
        <w:rPr>
          <w:rFonts w:hint="eastAsia" w:cs="FangSong_GB2312"/>
        </w:rPr>
        <w:t>3、在项目综合验收时向我局提交该地块垃圾收集站（点）、公厕等环卫设施竣工验收资料。并保证项目主体工程竣工验收时，垃圾收集站（点）、公厕等环卫设施同步验收并达到使用要求。</w:t>
      </w:r>
    </w:p>
    <w:p w14:paraId="6338814E">
      <w:pPr>
        <w:pStyle w:val="6"/>
        <w:keepNext w:val="0"/>
        <w:keepLines w:val="0"/>
        <w:pageBreakBefore w:val="0"/>
        <w:widowControl w:val="0"/>
        <w:numPr>
          <w:ilvl w:val="0"/>
          <w:numId w:val="0"/>
        </w:numPr>
        <w:kinsoku/>
        <w:wordWrap/>
        <w:overflowPunct/>
        <w:topLinePunct w:val="0"/>
        <w:bidi w:val="0"/>
        <w:ind w:leftChars="200"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九、收费标准</w:t>
      </w:r>
    </w:p>
    <w:p w14:paraId="2E2EC75A">
      <w:pPr>
        <w:pStyle w:val="6"/>
        <w:keepNext w:val="0"/>
        <w:keepLines w:val="0"/>
        <w:pageBreakBefore w:val="0"/>
        <w:widowControl w:val="0"/>
        <w:numPr>
          <w:ilvl w:val="0"/>
          <w:numId w:val="0"/>
        </w:numPr>
        <w:kinsoku/>
        <w:wordWrap/>
        <w:overflowPunct/>
        <w:topLinePunct w:val="0"/>
        <w:bidi w:val="0"/>
        <w:ind w:leftChars="200" w:firstLine="326" w:firstLineChars="100"/>
        <w:rPr>
          <w:rFonts w:hint="eastAsia" w:ascii="仿宋_GB2312" w:hAnsi="仿宋_GB2312" w:eastAsia="仿宋_GB2312" w:cs="仿宋_GB2312"/>
          <w:color w:val="auto"/>
          <w:spacing w:val="8"/>
          <w:kern w:val="2"/>
          <w:sz w:val="31"/>
          <w:szCs w:val="31"/>
          <w:lang w:val="en-US" w:eastAsia="zh-CN" w:bidi="ar-SA"/>
        </w:rPr>
      </w:pPr>
      <w:r>
        <w:rPr>
          <w:rFonts w:hint="eastAsia" w:ascii="仿宋_GB2312" w:hAnsi="仿宋_GB2312" w:eastAsia="仿宋_GB2312" w:cs="仿宋_GB2312"/>
          <w:color w:val="auto"/>
          <w:spacing w:val="8"/>
          <w:kern w:val="2"/>
          <w:sz w:val="31"/>
          <w:szCs w:val="31"/>
          <w:lang w:val="en-US" w:eastAsia="zh-CN" w:bidi="ar-SA"/>
        </w:rPr>
        <w:t>无</w:t>
      </w:r>
    </w:p>
    <w:p w14:paraId="42582397">
      <w:pPr>
        <w:pStyle w:val="6"/>
        <w:keepNext w:val="0"/>
        <w:keepLines w:val="0"/>
        <w:pageBreakBefore w:val="0"/>
        <w:widowControl w:val="0"/>
        <w:numPr>
          <w:ilvl w:val="0"/>
          <w:numId w:val="3"/>
        </w:numPr>
        <w:kinsoku/>
        <w:wordWrap/>
        <w:overflowPunct/>
        <w:topLinePunct w:val="0"/>
        <w:bidi w:val="0"/>
        <w:ind w:leftChars="200"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w:t>
      </w:r>
    </w:p>
    <w:p w14:paraId="0D9FE98C">
      <w:pPr>
        <w:pStyle w:val="6"/>
        <w:keepNext w:val="0"/>
        <w:keepLines w:val="0"/>
        <w:pageBreakBefore w:val="0"/>
        <w:widowControl w:val="0"/>
        <w:numPr>
          <w:ilvl w:val="0"/>
          <w:numId w:val="0"/>
        </w:numPr>
        <w:kinsoku/>
        <w:wordWrap/>
        <w:overflowPunct/>
        <w:topLinePunct w:val="0"/>
        <w:bidi w:val="0"/>
        <w:ind w:leftChars="200" w:firstLine="326" w:firstLineChars="100"/>
        <w:rPr>
          <w:rFonts w:hint="eastAsia" w:ascii="仿宋_GB2312" w:hAnsi="仿宋_GB2312" w:eastAsia="仿宋_GB2312" w:cs="仿宋_GB2312"/>
          <w:color w:val="auto"/>
          <w:spacing w:val="8"/>
          <w:kern w:val="2"/>
          <w:sz w:val="31"/>
          <w:szCs w:val="31"/>
          <w:lang w:val="en-US" w:eastAsia="zh-CN" w:bidi="ar-SA"/>
        </w:rPr>
      </w:pPr>
      <w:r>
        <w:rPr>
          <w:rFonts w:hint="eastAsia" w:ascii="仿宋_GB2312" w:hAnsi="仿宋_GB2312" w:eastAsia="仿宋_GB2312" w:cs="仿宋_GB2312"/>
          <w:color w:val="auto"/>
          <w:spacing w:val="8"/>
          <w:kern w:val="2"/>
          <w:sz w:val="31"/>
          <w:szCs w:val="31"/>
          <w:lang w:val="en-US" w:eastAsia="zh-CN" w:bidi="ar-SA"/>
        </w:rPr>
        <w:t>无</w:t>
      </w:r>
    </w:p>
    <w:p w14:paraId="097945AC">
      <w:pPr>
        <w:pStyle w:val="6"/>
        <w:keepNext w:val="0"/>
        <w:keepLines w:val="0"/>
        <w:pageBreakBefore w:val="0"/>
        <w:widowControl w:val="0"/>
        <w:numPr>
          <w:ilvl w:val="0"/>
          <w:numId w:val="0"/>
        </w:numPr>
        <w:kinsoku/>
        <w:wordWrap/>
        <w:overflowPunct/>
        <w:topLinePunct w:val="0"/>
        <w:bidi w:val="0"/>
        <w:ind w:leftChars="200" w:firstLine="322" w:firstLineChars="100"/>
        <w:rPr>
          <w:rFonts w:hint="default"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十一、申请材料</w:t>
      </w:r>
    </w:p>
    <w:tbl>
      <w:tblPr>
        <w:tblStyle w:val="3"/>
        <w:tblpPr w:leftFromText="180" w:rightFromText="180" w:vertAnchor="text" w:horzAnchor="page" w:tblpX="1091" w:tblpY="610"/>
        <w:tblOverlap w:val="never"/>
        <w:tblW w:w="9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202"/>
        <w:gridCol w:w="717"/>
        <w:gridCol w:w="1769"/>
        <w:gridCol w:w="3604"/>
      </w:tblGrid>
      <w:tr w14:paraId="132B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5" w:type="dxa"/>
            <w:noWrap w:val="0"/>
            <w:vAlign w:val="center"/>
          </w:tcPr>
          <w:p w14:paraId="3C3422DF">
            <w:pPr>
              <w:jc w:val="center"/>
              <w:rPr>
                <w:rFonts w:ascii="宋体" w:hAnsi="宋体" w:cs="宋体"/>
                <w:b/>
                <w:sz w:val="24"/>
              </w:rPr>
            </w:pPr>
            <w:r>
              <w:rPr>
                <w:rFonts w:hint="eastAsia" w:ascii="宋体" w:hAnsi="宋体" w:cs="宋体"/>
                <w:b/>
                <w:sz w:val="24"/>
              </w:rPr>
              <w:t>序号</w:t>
            </w:r>
          </w:p>
        </w:tc>
        <w:tc>
          <w:tcPr>
            <w:tcW w:w="3202" w:type="dxa"/>
            <w:noWrap w:val="0"/>
            <w:vAlign w:val="center"/>
          </w:tcPr>
          <w:p w14:paraId="0BABEF36">
            <w:pPr>
              <w:jc w:val="center"/>
              <w:rPr>
                <w:rFonts w:ascii="宋体" w:hAnsi="宋体" w:cs="宋体"/>
                <w:b/>
                <w:sz w:val="24"/>
              </w:rPr>
            </w:pPr>
            <w:r>
              <w:rPr>
                <w:rFonts w:hint="eastAsia" w:ascii="宋体" w:hAnsi="宋体" w:cs="宋体"/>
                <w:b/>
                <w:sz w:val="24"/>
              </w:rPr>
              <w:t>材料名称</w:t>
            </w:r>
          </w:p>
        </w:tc>
        <w:tc>
          <w:tcPr>
            <w:tcW w:w="717" w:type="dxa"/>
            <w:noWrap w:val="0"/>
            <w:vAlign w:val="center"/>
          </w:tcPr>
          <w:p w14:paraId="4532B202">
            <w:pPr>
              <w:jc w:val="center"/>
              <w:rPr>
                <w:rFonts w:ascii="宋体" w:hAnsi="宋体" w:cs="宋体"/>
                <w:b/>
                <w:sz w:val="24"/>
              </w:rPr>
            </w:pPr>
            <w:r>
              <w:rPr>
                <w:rFonts w:hint="eastAsia" w:ascii="宋体" w:hAnsi="宋体" w:cs="宋体"/>
                <w:b/>
                <w:sz w:val="24"/>
              </w:rPr>
              <w:t>份数</w:t>
            </w:r>
          </w:p>
        </w:tc>
        <w:tc>
          <w:tcPr>
            <w:tcW w:w="1769" w:type="dxa"/>
            <w:noWrap w:val="0"/>
            <w:vAlign w:val="center"/>
          </w:tcPr>
          <w:p w14:paraId="7C1798CC">
            <w:pPr>
              <w:jc w:val="center"/>
              <w:rPr>
                <w:rFonts w:ascii="宋体" w:hAnsi="宋体" w:cs="宋体"/>
                <w:b/>
                <w:sz w:val="24"/>
              </w:rPr>
            </w:pPr>
            <w:r>
              <w:rPr>
                <w:rFonts w:hint="eastAsia" w:ascii="宋体" w:hAnsi="宋体" w:cs="宋体"/>
                <w:b/>
                <w:sz w:val="24"/>
              </w:rPr>
              <w:t>形式</w:t>
            </w:r>
          </w:p>
          <w:p w14:paraId="1886B4AA">
            <w:pPr>
              <w:jc w:val="center"/>
              <w:rPr>
                <w:rFonts w:ascii="宋体" w:hAnsi="宋体" w:cs="宋体"/>
                <w:b/>
                <w:sz w:val="24"/>
              </w:rPr>
            </w:pPr>
            <w:r>
              <w:rPr>
                <w:rFonts w:hint="eastAsia" w:ascii="宋体" w:hAnsi="宋体" w:cs="宋体"/>
                <w:b/>
                <w:sz w:val="24"/>
              </w:rPr>
              <w:t>（核对原件）</w:t>
            </w:r>
          </w:p>
        </w:tc>
        <w:tc>
          <w:tcPr>
            <w:tcW w:w="3604" w:type="dxa"/>
            <w:noWrap w:val="0"/>
            <w:vAlign w:val="center"/>
          </w:tcPr>
          <w:p w14:paraId="79FD552C">
            <w:pPr>
              <w:jc w:val="center"/>
              <w:rPr>
                <w:rFonts w:ascii="宋体" w:hAnsi="宋体" w:cs="宋体"/>
                <w:b/>
                <w:sz w:val="24"/>
              </w:rPr>
            </w:pPr>
            <w:r>
              <w:rPr>
                <w:rFonts w:hint="eastAsia" w:ascii="宋体" w:hAnsi="宋体" w:cs="宋体"/>
                <w:b/>
                <w:sz w:val="24"/>
              </w:rPr>
              <w:t>审查要点</w:t>
            </w:r>
          </w:p>
          <w:p w14:paraId="350CD302">
            <w:pPr>
              <w:jc w:val="center"/>
              <w:rPr>
                <w:rFonts w:ascii="宋体" w:hAnsi="宋体" w:cs="宋体"/>
                <w:b/>
                <w:sz w:val="24"/>
              </w:rPr>
            </w:pPr>
            <w:r>
              <w:rPr>
                <w:rFonts w:hint="eastAsia" w:ascii="宋体" w:hAnsi="宋体" w:cs="宋体"/>
                <w:b/>
                <w:sz w:val="24"/>
              </w:rPr>
              <w:t>（复印件加盖公章及骑缝章）</w:t>
            </w:r>
          </w:p>
        </w:tc>
      </w:tr>
      <w:tr w14:paraId="3DB4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675" w:type="dxa"/>
            <w:noWrap w:val="0"/>
            <w:vAlign w:val="center"/>
          </w:tcPr>
          <w:p w14:paraId="747A9A68">
            <w:pPr>
              <w:jc w:val="center"/>
              <w:rPr>
                <w:rFonts w:ascii="宋体" w:hAnsi="宋体" w:cs="宋体"/>
                <w:sz w:val="24"/>
              </w:rPr>
            </w:pPr>
            <w:r>
              <w:rPr>
                <w:rFonts w:hint="eastAsia" w:ascii="宋体" w:hAnsi="宋体" w:cs="宋体"/>
                <w:sz w:val="24"/>
              </w:rPr>
              <w:t>1</w:t>
            </w:r>
          </w:p>
        </w:tc>
        <w:tc>
          <w:tcPr>
            <w:tcW w:w="3202" w:type="dxa"/>
            <w:noWrap w:val="0"/>
            <w:vAlign w:val="center"/>
          </w:tcPr>
          <w:p w14:paraId="35D76E23">
            <w:pPr>
              <w:jc w:val="left"/>
              <w:rPr>
                <w:rFonts w:ascii="宋体" w:hAnsi="宋体" w:cs="宋体"/>
                <w:sz w:val="24"/>
              </w:rPr>
            </w:pPr>
            <w:r>
              <w:rPr>
                <w:rFonts w:hint="eastAsia" w:ascii="宋体" w:hAnsi="宋体" w:cs="宋体"/>
                <w:sz w:val="24"/>
              </w:rPr>
              <w:t>工程建设许可阶段（设计方案联合审查）申请表</w:t>
            </w:r>
          </w:p>
        </w:tc>
        <w:tc>
          <w:tcPr>
            <w:tcW w:w="717" w:type="dxa"/>
            <w:noWrap w:val="0"/>
            <w:vAlign w:val="center"/>
          </w:tcPr>
          <w:p w14:paraId="0E634846">
            <w:pPr>
              <w:jc w:val="center"/>
              <w:rPr>
                <w:rFonts w:ascii="宋体" w:hAnsi="宋体" w:cs="宋体"/>
                <w:sz w:val="24"/>
              </w:rPr>
            </w:pPr>
            <w:r>
              <w:rPr>
                <w:rFonts w:hint="eastAsia" w:ascii="宋体" w:hAnsi="宋体" w:cs="宋体"/>
                <w:sz w:val="24"/>
              </w:rPr>
              <w:t>1</w:t>
            </w:r>
          </w:p>
        </w:tc>
        <w:tc>
          <w:tcPr>
            <w:tcW w:w="1769" w:type="dxa"/>
            <w:noWrap w:val="0"/>
            <w:vAlign w:val="center"/>
          </w:tcPr>
          <w:p w14:paraId="4D51874C">
            <w:pPr>
              <w:jc w:val="left"/>
              <w:rPr>
                <w:rFonts w:ascii="宋体" w:hAnsi="宋体" w:cs="宋体"/>
                <w:sz w:val="24"/>
              </w:rPr>
            </w:pPr>
            <w:r>
              <w:rPr>
                <w:rFonts w:hint="eastAsia" w:ascii="宋体" w:hAnsi="宋体" w:cs="宋体"/>
                <w:sz w:val="24"/>
              </w:rPr>
              <w:t>纸质原件及原件电子扫描件</w:t>
            </w:r>
          </w:p>
        </w:tc>
        <w:tc>
          <w:tcPr>
            <w:tcW w:w="3604" w:type="dxa"/>
            <w:noWrap w:val="0"/>
            <w:vAlign w:val="center"/>
          </w:tcPr>
          <w:p w14:paraId="19165E6F">
            <w:pPr>
              <w:jc w:val="left"/>
              <w:rPr>
                <w:rFonts w:ascii="宋体" w:hAnsi="宋体" w:cs="宋体"/>
                <w:sz w:val="24"/>
              </w:rPr>
            </w:pPr>
            <w:r>
              <w:rPr>
                <w:rFonts w:hint="eastAsia" w:ascii="宋体" w:hAnsi="宋体" w:cs="宋体"/>
                <w:sz w:val="24"/>
              </w:rPr>
              <w:t>（1）建设单位法人代表签字并加盖公章（如委托人签字需提供委托书），设计单位及日照单位盖资质章；</w:t>
            </w:r>
          </w:p>
          <w:p w14:paraId="43DDDF61">
            <w:pPr>
              <w:jc w:val="left"/>
              <w:rPr>
                <w:rFonts w:ascii="宋体" w:hAnsi="宋体" w:cs="宋体"/>
                <w:sz w:val="24"/>
              </w:rPr>
            </w:pPr>
            <w:r>
              <w:rPr>
                <w:rFonts w:hint="eastAsia" w:ascii="宋体" w:hAnsi="宋体" w:cs="宋体"/>
                <w:sz w:val="24"/>
              </w:rPr>
              <w:t>（2）单体及总体面积填报应与方案及电子报建一致。</w:t>
            </w:r>
          </w:p>
        </w:tc>
      </w:tr>
      <w:tr w14:paraId="475F5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trPr>
        <w:tc>
          <w:tcPr>
            <w:tcW w:w="675" w:type="dxa"/>
            <w:noWrap w:val="0"/>
            <w:vAlign w:val="center"/>
          </w:tcPr>
          <w:p w14:paraId="7019E284">
            <w:pPr>
              <w:jc w:val="center"/>
              <w:rPr>
                <w:rFonts w:ascii="宋体" w:hAnsi="宋体" w:cs="宋体"/>
                <w:sz w:val="24"/>
              </w:rPr>
            </w:pPr>
            <w:r>
              <w:rPr>
                <w:rFonts w:hint="eastAsia" w:ascii="宋体" w:hAnsi="宋体" w:cs="宋体"/>
                <w:sz w:val="24"/>
              </w:rPr>
              <w:t>2</w:t>
            </w:r>
          </w:p>
        </w:tc>
        <w:tc>
          <w:tcPr>
            <w:tcW w:w="3202" w:type="dxa"/>
            <w:noWrap w:val="0"/>
            <w:vAlign w:val="center"/>
          </w:tcPr>
          <w:p w14:paraId="0321DB85">
            <w:pPr>
              <w:jc w:val="left"/>
              <w:rPr>
                <w:rFonts w:ascii="宋体" w:hAnsi="宋体" w:cs="宋体"/>
                <w:sz w:val="24"/>
              </w:rPr>
            </w:pPr>
            <w:r>
              <w:rPr>
                <w:rFonts w:hint="eastAsia" w:ascii="宋体" w:hAnsi="宋体" w:cs="宋体"/>
                <w:sz w:val="24"/>
              </w:rPr>
              <w:t>*建设项目立项批文（</w:t>
            </w:r>
            <w:r>
              <w:rPr>
                <w:rFonts w:hint="eastAsia" w:ascii="宋体" w:hAnsi="宋体" w:cs="宋体"/>
                <w:kern w:val="0"/>
                <w:sz w:val="24"/>
              </w:rPr>
              <w:t>可容缺，政府投资项目须提供</w:t>
            </w:r>
            <w:r>
              <w:rPr>
                <w:rFonts w:hint="eastAsia" w:ascii="宋体" w:hAnsi="宋体" w:cs="宋体"/>
                <w:sz w:val="24"/>
              </w:rPr>
              <w:t>）</w:t>
            </w:r>
          </w:p>
        </w:tc>
        <w:tc>
          <w:tcPr>
            <w:tcW w:w="717" w:type="dxa"/>
            <w:noWrap w:val="0"/>
            <w:vAlign w:val="center"/>
          </w:tcPr>
          <w:p w14:paraId="0FCB8E83">
            <w:pPr>
              <w:jc w:val="center"/>
              <w:rPr>
                <w:rFonts w:ascii="宋体" w:hAnsi="宋体" w:cs="宋体"/>
                <w:sz w:val="24"/>
              </w:rPr>
            </w:pPr>
            <w:r>
              <w:rPr>
                <w:rFonts w:hint="eastAsia" w:ascii="宋体" w:hAnsi="宋体" w:cs="宋体"/>
                <w:sz w:val="24"/>
              </w:rPr>
              <w:t>1</w:t>
            </w:r>
          </w:p>
        </w:tc>
        <w:tc>
          <w:tcPr>
            <w:tcW w:w="1769" w:type="dxa"/>
            <w:noWrap w:val="0"/>
            <w:vAlign w:val="center"/>
          </w:tcPr>
          <w:p w14:paraId="71E8E09F">
            <w:pPr>
              <w:jc w:val="left"/>
              <w:rPr>
                <w:rFonts w:ascii="宋体" w:hAnsi="宋体" w:cs="宋体"/>
                <w:sz w:val="24"/>
              </w:rPr>
            </w:pPr>
            <w:r>
              <w:rPr>
                <w:rFonts w:hint="eastAsia" w:ascii="宋体" w:hAnsi="宋体" w:cs="宋体"/>
                <w:sz w:val="24"/>
              </w:rPr>
              <w:t>纸质复印件及原件电子扫描件</w:t>
            </w:r>
          </w:p>
        </w:tc>
        <w:tc>
          <w:tcPr>
            <w:tcW w:w="3604" w:type="dxa"/>
            <w:noWrap w:val="0"/>
            <w:vAlign w:val="top"/>
          </w:tcPr>
          <w:p w14:paraId="09777833">
            <w:pPr>
              <w:jc w:val="left"/>
              <w:rPr>
                <w:rFonts w:ascii="宋体" w:hAnsi="宋体" w:cs="宋体"/>
                <w:sz w:val="24"/>
              </w:rPr>
            </w:pPr>
            <w:r>
              <w:rPr>
                <w:rFonts w:hint="eastAsia" w:ascii="宋体" w:hAnsi="宋体" w:cs="宋体"/>
                <w:sz w:val="24"/>
              </w:rPr>
              <w:t>（1）有效期内立项（可共享）；</w:t>
            </w:r>
          </w:p>
          <w:p w14:paraId="712E9EDA">
            <w:pPr>
              <w:jc w:val="left"/>
              <w:rPr>
                <w:rFonts w:ascii="宋体" w:hAnsi="宋体" w:cs="宋体"/>
                <w:sz w:val="24"/>
              </w:rPr>
            </w:pPr>
            <w:r>
              <w:rPr>
                <w:rFonts w:hint="eastAsia" w:ascii="宋体" w:hAnsi="宋体" w:cs="宋体"/>
                <w:sz w:val="24"/>
              </w:rPr>
              <w:t>（2）建设单位及项目名称与申请表一致；</w:t>
            </w:r>
          </w:p>
          <w:p w14:paraId="3D1BCE24">
            <w:pPr>
              <w:jc w:val="left"/>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）申请土地面积不得超立项；</w:t>
            </w:r>
          </w:p>
          <w:p w14:paraId="4022C823">
            <w:pPr>
              <w:jc w:val="left"/>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）可容缺，项目公示前必须提供。</w:t>
            </w:r>
          </w:p>
        </w:tc>
      </w:tr>
      <w:tr w14:paraId="1BF7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trPr>
        <w:tc>
          <w:tcPr>
            <w:tcW w:w="675" w:type="dxa"/>
            <w:tcBorders>
              <w:bottom w:val="single" w:color="auto" w:sz="4" w:space="0"/>
            </w:tcBorders>
            <w:noWrap w:val="0"/>
            <w:vAlign w:val="center"/>
          </w:tcPr>
          <w:p w14:paraId="04D26946">
            <w:pPr>
              <w:jc w:val="center"/>
              <w:rPr>
                <w:rFonts w:ascii="宋体" w:hAnsi="宋体" w:cs="宋体"/>
                <w:sz w:val="24"/>
              </w:rPr>
            </w:pPr>
            <w:r>
              <w:rPr>
                <w:rFonts w:ascii="宋体" w:hAnsi="宋体" w:cs="宋体"/>
                <w:sz w:val="24"/>
              </w:rPr>
              <w:t>3</w:t>
            </w:r>
          </w:p>
        </w:tc>
        <w:tc>
          <w:tcPr>
            <w:tcW w:w="3202" w:type="dxa"/>
            <w:tcBorders>
              <w:bottom w:val="single" w:color="auto" w:sz="4" w:space="0"/>
            </w:tcBorders>
            <w:noWrap w:val="0"/>
            <w:vAlign w:val="center"/>
          </w:tcPr>
          <w:p w14:paraId="78A987AE">
            <w:pPr>
              <w:jc w:val="left"/>
              <w:rPr>
                <w:rFonts w:ascii="宋体" w:hAnsi="宋体" w:cs="宋体"/>
                <w:sz w:val="24"/>
              </w:rPr>
            </w:pPr>
            <w:r>
              <w:rPr>
                <w:rFonts w:hint="eastAsia" w:ascii="宋体" w:hAnsi="宋体" w:cs="宋体"/>
                <w:sz w:val="24"/>
              </w:rPr>
              <w:t>用地批准文件</w:t>
            </w:r>
          </w:p>
        </w:tc>
        <w:tc>
          <w:tcPr>
            <w:tcW w:w="717" w:type="dxa"/>
            <w:tcBorders>
              <w:bottom w:val="single" w:color="auto" w:sz="4" w:space="0"/>
            </w:tcBorders>
            <w:noWrap w:val="0"/>
            <w:vAlign w:val="center"/>
          </w:tcPr>
          <w:p w14:paraId="68879F0A">
            <w:pPr>
              <w:jc w:val="center"/>
              <w:rPr>
                <w:rFonts w:ascii="宋体" w:hAnsi="宋体" w:cs="宋体"/>
                <w:sz w:val="24"/>
              </w:rPr>
            </w:pPr>
            <w:r>
              <w:rPr>
                <w:rFonts w:hint="eastAsia" w:ascii="宋体" w:hAnsi="宋体" w:cs="宋体"/>
                <w:sz w:val="24"/>
              </w:rPr>
              <w:t>1</w:t>
            </w:r>
          </w:p>
        </w:tc>
        <w:tc>
          <w:tcPr>
            <w:tcW w:w="1769" w:type="dxa"/>
            <w:tcBorders>
              <w:bottom w:val="single" w:color="auto" w:sz="4" w:space="0"/>
            </w:tcBorders>
            <w:noWrap w:val="0"/>
            <w:vAlign w:val="center"/>
          </w:tcPr>
          <w:p w14:paraId="588F0D89">
            <w:pPr>
              <w:jc w:val="left"/>
              <w:rPr>
                <w:rFonts w:ascii="宋体" w:hAnsi="宋体" w:cs="宋体"/>
                <w:sz w:val="24"/>
              </w:rPr>
            </w:pPr>
            <w:r>
              <w:rPr>
                <w:rFonts w:hint="eastAsia" w:ascii="宋体" w:hAnsi="宋体" w:cs="宋体"/>
                <w:sz w:val="24"/>
              </w:rPr>
              <w:t>纸质复印件及原件电子扫描件</w:t>
            </w:r>
          </w:p>
        </w:tc>
        <w:tc>
          <w:tcPr>
            <w:tcW w:w="3604" w:type="dxa"/>
            <w:tcBorders>
              <w:bottom w:val="single" w:color="auto" w:sz="4" w:space="0"/>
            </w:tcBorders>
            <w:noWrap w:val="0"/>
            <w:vAlign w:val="top"/>
          </w:tcPr>
          <w:p w14:paraId="702B7160">
            <w:pPr>
              <w:jc w:val="left"/>
              <w:rPr>
                <w:rFonts w:ascii="宋体" w:hAnsi="宋体" w:cs="宋体"/>
                <w:kern w:val="0"/>
                <w:sz w:val="24"/>
              </w:rPr>
            </w:pPr>
            <w:r>
              <w:rPr>
                <w:rFonts w:hint="eastAsia" w:ascii="宋体" w:hAnsi="宋体" w:cs="宋体"/>
                <w:kern w:val="0"/>
                <w:sz w:val="24"/>
              </w:rPr>
              <w:t>（1）土地权属单位与申请表一致；</w:t>
            </w:r>
          </w:p>
          <w:p w14:paraId="78E54507">
            <w:pPr>
              <w:jc w:val="left"/>
              <w:rPr>
                <w:rFonts w:ascii="宋体" w:hAnsi="宋体" w:cs="宋体"/>
                <w:kern w:val="0"/>
                <w:sz w:val="24"/>
              </w:rPr>
            </w:pPr>
            <w:r>
              <w:rPr>
                <w:rFonts w:hint="eastAsia" w:ascii="宋体" w:hAnsi="宋体" w:cs="宋体"/>
                <w:kern w:val="0"/>
                <w:sz w:val="24"/>
              </w:rPr>
              <w:t>（2）政府投资类建筑工程提交土地预审意见或用地规划许可证或土地划拨决定书、不动产权证书，设计方案审查合格履行公示程序后即可核发建设工程规划许可证；</w:t>
            </w:r>
          </w:p>
          <w:p w14:paraId="24A12F90">
            <w:pPr>
              <w:jc w:val="left"/>
              <w:rPr>
                <w:rFonts w:ascii="宋体" w:hAnsi="宋体" w:cs="宋体"/>
                <w:kern w:val="0"/>
                <w:sz w:val="24"/>
              </w:rPr>
            </w:pPr>
            <w:r>
              <w:rPr>
                <w:rFonts w:hint="eastAsia" w:ascii="宋体" w:hAnsi="宋体" w:cs="宋体"/>
                <w:kern w:val="0"/>
                <w:sz w:val="24"/>
              </w:rPr>
              <w:t>（3）社会投资类民用建筑工程、其他工程建设项目提交规划条件及土地成交确认书或不动产权证书，设计方案审查合格履行公示程序后，提供土地出让合同即可核发建设工程规划许可证；</w:t>
            </w:r>
          </w:p>
          <w:p w14:paraId="4115F9E1">
            <w:pPr>
              <w:jc w:val="left"/>
              <w:rPr>
                <w:rFonts w:ascii="宋体" w:hAnsi="宋体" w:cs="宋体"/>
                <w:kern w:val="0"/>
                <w:sz w:val="24"/>
              </w:rPr>
            </w:pPr>
            <w:r>
              <w:rPr>
                <w:rFonts w:hint="eastAsia" w:ascii="宋体" w:hAnsi="宋体" w:cs="宋体"/>
                <w:kern w:val="0"/>
                <w:sz w:val="24"/>
              </w:rPr>
              <w:t>（4）社会投资类工业、仓储建筑工程可以提交区政府或功能区、开发区管理机构出具的唯一用地凭证或土地成交确认书、不动产权证书，设计方案审查合格履行公示程序后，提供土地成交确认书即可核发建设工程规划许可证。</w:t>
            </w:r>
          </w:p>
        </w:tc>
      </w:tr>
      <w:tr w14:paraId="01B6E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E8E7810">
            <w:pPr>
              <w:jc w:val="center"/>
              <w:rPr>
                <w:rFonts w:ascii="宋体" w:hAnsi="宋体" w:cs="宋体"/>
                <w:sz w:val="24"/>
              </w:rPr>
            </w:pPr>
            <w:r>
              <w:rPr>
                <w:rFonts w:ascii="宋体" w:hAnsi="宋体" w:cs="宋体"/>
                <w:sz w:val="24"/>
              </w:rPr>
              <w:t>4</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7CCC49D0">
            <w:pPr>
              <w:jc w:val="left"/>
              <w:rPr>
                <w:rFonts w:ascii="宋体" w:hAnsi="宋体" w:cs="宋体"/>
                <w:sz w:val="24"/>
              </w:rPr>
            </w:pPr>
            <w:r>
              <w:rPr>
                <w:rFonts w:hint="eastAsia" w:ascii="宋体" w:hAnsi="宋体" w:cs="宋体"/>
                <w:sz w:val="24"/>
              </w:rPr>
              <w:t>符合国家标准和制图规范的建设工程设计方案成果</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0CFC2F">
            <w:pPr>
              <w:jc w:val="center"/>
              <w:rPr>
                <w:rFonts w:ascii="宋体" w:hAnsi="宋体" w:cs="宋体"/>
                <w:sz w:val="24"/>
              </w:rPr>
            </w:pPr>
            <w:r>
              <w:rPr>
                <w:rFonts w:hint="eastAsia" w:ascii="宋体" w:hAnsi="宋体" w:cs="宋体"/>
                <w:sz w:val="24"/>
              </w:rPr>
              <w:t>2</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0FBA57BE">
            <w:pPr>
              <w:jc w:val="left"/>
              <w:rPr>
                <w:rFonts w:ascii="宋体" w:hAnsi="宋体" w:cs="宋体"/>
                <w:sz w:val="24"/>
              </w:rPr>
            </w:pPr>
            <w:r>
              <w:rPr>
                <w:rFonts w:hint="eastAsia" w:ascii="宋体" w:hAnsi="宋体" w:cs="宋体"/>
                <w:sz w:val="24"/>
              </w:rPr>
              <w:t>纸质原件、符合电子报建要求的电子版、CAD图纸及PDF或JPG效果图</w:t>
            </w:r>
          </w:p>
        </w:tc>
        <w:tc>
          <w:tcPr>
            <w:tcW w:w="3604" w:type="dxa"/>
            <w:tcBorders>
              <w:top w:val="single" w:color="auto" w:sz="4" w:space="0"/>
              <w:left w:val="single" w:color="auto" w:sz="4" w:space="0"/>
              <w:bottom w:val="single" w:color="auto" w:sz="4" w:space="0"/>
              <w:right w:val="single" w:color="auto" w:sz="4" w:space="0"/>
            </w:tcBorders>
            <w:noWrap w:val="0"/>
            <w:vAlign w:val="center"/>
          </w:tcPr>
          <w:p w14:paraId="73063D63">
            <w:pPr>
              <w:jc w:val="left"/>
              <w:rPr>
                <w:rFonts w:ascii="宋体" w:hAnsi="宋体" w:cs="宋体"/>
                <w:kern w:val="0"/>
                <w:sz w:val="24"/>
              </w:rPr>
            </w:pPr>
            <w:r>
              <w:rPr>
                <w:rFonts w:hint="eastAsia" w:ascii="宋体" w:hAnsi="宋体" w:cs="宋体"/>
                <w:kern w:val="0"/>
                <w:sz w:val="24"/>
              </w:rPr>
              <w:t>（1）除工业、仓储、物流、基础设施类建设项目外，规划建设用地面积5公顷以上或者需要分期建设的居住类建设工程还应提供修建性详细规划成果；</w:t>
            </w:r>
          </w:p>
          <w:p w14:paraId="1848189B">
            <w:pPr>
              <w:jc w:val="left"/>
              <w:rPr>
                <w:rFonts w:ascii="宋体" w:hAnsi="宋体" w:cs="宋体"/>
                <w:kern w:val="0"/>
                <w:sz w:val="24"/>
              </w:rPr>
            </w:pPr>
            <w:r>
              <w:rPr>
                <w:rFonts w:hint="eastAsia" w:ascii="宋体" w:hAnsi="宋体" w:cs="宋体"/>
                <w:kern w:val="0"/>
                <w:sz w:val="24"/>
              </w:rPr>
              <w:t>（2）纸质原件</w:t>
            </w:r>
            <w:r>
              <w:rPr>
                <w:rFonts w:ascii="宋体" w:hAnsi="宋体" w:cs="宋体"/>
                <w:kern w:val="0"/>
                <w:sz w:val="24"/>
              </w:rPr>
              <w:t>2</w:t>
            </w:r>
            <w:r>
              <w:rPr>
                <w:rFonts w:hint="eastAsia" w:ascii="宋体" w:hAnsi="宋体" w:cs="宋体"/>
                <w:kern w:val="0"/>
                <w:sz w:val="24"/>
              </w:rPr>
              <w:t>套及符合电子报建要求的电子版，</w:t>
            </w:r>
            <w:r>
              <w:rPr>
                <w:rFonts w:hint="eastAsia" w:ascii="宋体" w:hAnsi="宋体" w:cs="宋体"/>
                <w:sz w:val="24"/>
              </w:rPr>
              <w:t>项目总平面设计中应标记《海绵城市建设专题报告》确定的有关海绵工程,</w:t>
            </w:r>
            <w:r>
              <w:rPr>
                <w:rFonts w:hint="eastAsia" w:ascii="宋体" w:hAnsi="宋体" w:cs="宋体"/>
                <w:kern w:val="0"/>
                <w:sz w:val="24"/>
              </w:rPr>
              <w:t>图纸上应有设计人签名和加盖设计单位、设计人资质印章。</w:t>
            </w:r>
          </w:p>
        </w:tc>
      </w:tr>
      <w:tr w14:paraId="529BC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1BB21A6">
            <w:pPr>
              <w:jc w:val="center"/>
              <w:rPr>
                <w:rFonts w:ascii="宋体" w:hAnsi="宋体" w:cs="宋体"/>
                <w:sz w:val="24"/>
              </w:rPr>
            </w:pPr>
            <w:r>
              <w:rPr>
                <w:rFonts w:ascii="宋体" w:hAnsi="宋体" w:cs="宋体"/>
                <w:sz w:val="24"/>
              </w:rPr>
              <w:t>5</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3AC47C21">
            <w:pPr>
              <w:jc w:val="left"/>
              <w:rPr>
                <w:rFonts w:ascii="宋体" w:hAnsi="宋体" w:cs="宋体"/>
                <w:sz w:val="24"/>
              </w:rPr>
            </w:pPr>
            <w:r>
              <w:rPr>
                <w:rFonts w:hint="eastAsia" w:ascii="宋体" w:hAnsi="宋体" w:cs="宋体"/>
                <w:sz w:val="24"/>
              </w:rPr>
              <w:t>土地勘测定界图</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ABEA273">
            <w:pPr>
              <w:jc w:val="center"/>
              <w:rPr>
                <w:rFonts w:ascii="宋体" w:hAnsi="宋体" w:cs="宋体"/>
                <w:sz w:val="24"/>
              </w:rPr>
            </w:pPr>
            <w:r>
              <w:rPr>
                <w:rFonts w:hint="eastAsia" w:ascii="宋体" w:hAnsi="宋体" w:cs="宋体"/>
                <w:sz w:val="24"/>
              </w:rPr>
              <w:t>1</w:t>
            </w:r>
          </w:p>
        </w:tc>
        <w:tc>
          <w:tcPr>
            <w:tcW w:w="1769" w:type="dxa"/>
            <w:tcBorders>
              <w:top w:val="single" w:color="auto" w:sz="4" w:space="0"/>
              <w:left w:val="single" w:color="auto" w:sz="4" w:space="0"/>
              <w:bottom w:val="single" w:color="auto" w:sz="4" w:space="0"/>
              <w:right w:val="single" w:color="auto" w:sz="4" w:space="0"/>
            </w:tcBorders>
            <w:noWrap w:val="0"/>
            <w:vAlign w:val="center"/>
          </w:tcPr>
          <w:p w14:paraId="24CCC293">
            <w:pPr>
              <w:jc w:val="left"/>
              <w:rPr>
                <w:rFonts w:ascii="宋体" w:hAnsi="宋体" w:cs="宋体"/>
                <w:sz w:val="24"/>
              </w:rPr>
            </w:pPr>
            <w:r>
              <w:rPr>
                <w:rFonts w:hint="eastAsia" w:ascii="宋体" w:hAnsi="宋体" w:cs="宋体"/>
                <w:sz w:val="24"/>
              </w:rPr>
              <w:t>纸质原件及CAD电子版</w:t>
            </w:r>
          </w:p>
        </w:tc>
        <w:tc>
          <w:tcPr>
            <w:tcW w:w="3604" w:type="dxa"/>
            <w:tcBorders>
              <w:top w:val="single" w:color="auto" w:sz="4" w:space="0"/>
              <w:left w:val="single" w:color="auto" w:sz="4" w:space="0"/>
              <w:bottom w:val="single" w:color="auto" w:sz="4" w:space="0"/>
              <w:right w:val="single" w:color="auto" w:sz="4" w:space="0"/>
            </w:tcBorders>
            <w:noWrap w:val="0"/>
            <w:vAlign w:val="center"/>
          </w:tcPr>
          <w:p w14:paraId="2A79D537">
            <w:pPr>
              <w:jc w:val="left"/>
              <w:rPr>
                <w:rFonts w:ascii="宋体" w:hAnsi="宋体" w:cs="宋体"/>
                <w:kern w:val="0"/>
                <w:sz w:val="24"/>
              </w:rPr>
            </w:pPr>
            <w:r>
              <w:rPr>
                <w:rFonts w:hint="eastAsia" w:ascii="宋体" w:hAnsi="宋体" w:cs="宋体"/>
                <w:sz w:val="24"/>
              </w:rPr>
              <w:t>（1）标明拟用地位置和范围，电子版用地范围单列图层且命名为&lt;范围线&gt;，须是闭合多段线；不能有交叉线、冗余点、冗余线；不能有回头线；</w:t>
            </w:r>
          </w:p>
          <w:p w14:paraId="06352458">
            <w:pPr>
              <w:jc w:val="left"/>
              <w:rPr>
                <w:rFonts w:ascii="宋体" w:hAnsi="宋体" w:cs="宋体"/>
                <w:kern w:val="0"/>
                <w:sz w:val="24"/>
              </w:rPr>
            </w:pPr>
            <w:r>
              <w:rPr>
                <w:rFonts w:hint="eastAsia" w:ascii="宋体" w:hAnsi="宋体" w:cs="宋体"/>
                <w:kern w:val="0"/>
                <w:sz w:val="24"/>
              </w:rPr>
              <w:t>（2）测绘图纸上需加盖测绘主管单位管理印章，测绘单位资质章在有效期内；</w:t>
            </w:r>
          </w:p>
          <w:p w14:paraId="23F6AEEB">
            <w:pPr>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）图纸为2000国家大地坐标系，比例尺为1:500或1:1000。</w:t>
            </w:r>
          </w:p>
        </w:tc>
      </w:tr>
      <w:tr w14:paraId="3BAA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675" w:type="dxa"/>
            <w:tcBorders>
              <w:top w:val="single" w:color="auto" w:sz="4" w:space="0"/>
            </w:tcBorders>
            <w:noWrap w:val="0"/>
            <w:vAlign w:val="center"/>
          </w:tcPr>
          <w:p w14:paraId="37A37C82">
            <w:pPr>
              <w:jc w:val="center"/>
              <w:rPr>
                <w:rFonts w:ascii="宋体" w:hAnsi="宋体" w:cs="宋体"/>
                <w:sz w:val="24"/>
              </w:rPr>
            </w:pPr>
            <w:r>
              <w:rPr>
                <w:rFonts w:hint="eastAsia" w:ascii="宋体" w:hAnsi="宋体" w:cs="宋体"/>
                <w:sz w:val="24"/>
              </w:rPr>
              <w:t>6</w:t>
            </w:r>
          </w:p>
        </w:tc>
        <w:tc>
          <w:tcPr>
            <w:tcW w:w="3202" w:type="dxa"/>
            <w:tcBorders>
              <w:top w:val="single" w:color="auto" w:sz="4" w:space="0"/>
            </w:tcBorders>
            <w:noWrap w:val="0"/>
            <w:vAlign w:val="center"/>
          </w:tcPr>
          <w:p w14:paraId="1ED3DFC1">
            <w:pPr>
              <w:jc w:val="left"/>
              <w:rPr>
                <w:rFonts w:ascii="宋体" w:hAnsi="宋体" w:cs="宋体"/>
                <w:sz w:val="24"/>
              </w:rPr>
            </w:pPr>
            <w:r>
              <w:rPr>
                <w:rFonts w:hint="eastAsia" w:ascii="宋体" w:hAnsi="宋体" w:cs="宋体"/>
                <w:sz w:val="24"/>
              </w:rPr>
              <w:t>日照分析报告(社会投资简易低风险项目无需提供)</w:t>
            </w:r>
          </w:p>
        </w:tc>
        <w:tc>
          <w:tcPr>
            <w:tcW w:w="717" w:type="dxa"/>
            <w:tcBorders>
              <w:top w:val="single" w:color="auto" w:sz="4" w:space="0"/>
            </w:tcBorders>
            <w:noWrap w:val="0"/>
            <w:vAlign w:val="center"/>
          </w:tcPr>
          <w:p w14:paraId="3C63C24E">
            <w:pPr>
              <w:jc w:val="center"/>
              <w:rPr>
                <w:rFonts w:ascii="宋体" w:hAnsi="宋体" w:cs="宋体"/>
                <w:sz w:val="24"/>
              </w:rPr>
            </w:pPr>
            <w:r>
              <w:rPr>
                <w:rFonts w:hint="eastAsia" w:ascii="宋体" w:hAnsi="宋体" w:cs="宋体"/>
                <w:sz w:val="24"/>
              </w:rPr>
              <w:t>1</w:t>
            </w:r>
          </w:p>
        </w:tc>
        <w:tc>
          <w:tcPr>
            <w:tcW w:w="1769" w:type="dxa"/>
            <w:tcBorders>
              <w:top w:val="single" w:color="auto" w:sz="4" w:space="0"/>
            </w:tcBorders>
            <w:noWrap w:val="0"/>
            <w:vAlign w:val="center"/>
          </w:tcPr>
          <w:p w14:paraId="448828B4">
            <w:pPr>
              <w:jc w:val="left"/>
              <w:rPr>
                <w:rFonts w:ascii="宋体" w:hAnsi="宋体" w:cs="宋体"/>
                <w:sz w:val="24"/>
              </w:rPr>
            </w:pPr>
            <w:r>
              <w:rPr>
                <w:rFonts w:hint="eastAsia" w:ascii="宋体" w:hAnsi="宋体" w:cs="宋体"/>
                <w:sz w:val="24"/>
              </w:rPr>
              <w:t>纸质原件及电子扫描件、图纸CAD电子版</w:t>
            </w:r>
          </w:p>
        </w:tc>
        <w:tc>
          <w:tcPr>
            <w:tcW w:w="3604" w:type="dxa"/>
            <w:tcBorders>
              <w:top w:val="single" w:color="auto" w:sz="4" w:space="0"/>
            </w:tcBorders>
            <w:noWrap w:val="0"/>
            <w:vAlign w:val="center"/>
          </w:tcPr>
          <w:p w14:paraId="191DB409">
            <w:pPr>
              <w:jc w:val="left"/>
              <w:rPr>
                <w:rFonts w:ascii="宋体" w:hAnsi="宋体" w:cs="宋体"/>
                <w:kern w:val="0"/>
                <w:sz w:val="24"/>
              </w:rPr>
            </w:pPr>
            <w:r>
              <w:rPr>
                <w:rFonts w:hint="eastAsia" w:ascii="宋体" w:hAnsi="宋体" w:cs="宋体"/>
                <w:kern w:val="0"/>
                <w:sz w:val="24"/>
              </w:rPr>
              <w:t>（1）需进行日照分析的项目提供；</w:t>
            </w:r>
          </w:p>
          <w:p w14:paraId="2B72EAD0">
            <w:pPr>
              <w:jc w:val="left"/>
              <w:rPr>
                <w:rFonts w:ascii="宋体" w:hAnsi="宋体" w:cs="宋体"/>
                <w:kern w:val="0"/>
                <w:sz w:val="24"/>
              </w:rPr>
            </w:pPr>
            <w:r>
              <w:rPr>
                <w:rFonts w:hint="eastAsia" w:ascii="宋体" w:hAnsi="宋体" w:cs="宋体"/>
                <w:kern w:val="0"/>
                <w:sz w:val="24"/>
              </w:rPr>
              <w:t>（2）由具备相应资格的单位编制，须签字盖设计单位资质章。</w:t>
            </w:r>
          </w:p>
        </w:tc>
      </w:tr>
      <w:tr w14:paraId="3A59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75" w:type="dxa"/>
            <w:noWrap w:val="0"/>
            <w:vAlign w:val="center"/>
          </w:tcPr>
          <w:p w14:paraId="1D56F0AB">
            <w:pPr>
              <w:jc w:val="center"/>
              <w:rPr>
                <w:rFonts w:ascii="宋体" w:hAnsi="宋体" w:cs="宋体"/>
                <w:sz w:val="24"/>
              </w:rPr>
            </w:pPr>
            <w:r>
              <w:rPr>
                <w:rFonts w:hint="eastAsia" w:ascii="宋体" w:hAnsi="宋体" w:cs="宋体"/>
                <w:sz w:val="24"/>
              </w:rPr>
              <w:t>7</w:t>
            </w:r>
          </w:p>
        </w:tc>
        <w:tc>
          <w:tcPr>
            <w:tcW w:w="3202" w:type="dxa"/>
            <w:noWrap w:val="0"/>
            <w:vAlign w:val="center"/>
          </w:tcPr>
          <w:p w14:paraId="3782663E">
            <w:pPr>
              <w:jc w:val="left"/>
              <w:rPr>
                <w:rFonts w:ascii="宋体" w:hAnsi="宋体" w:cs="宋体"/>
                <w:sz w:val="24"/>
              </w:rPr>
            </w:pPr>
            <w:r>
              <w:rPr>
                <w:rFonts w:hint="eastAsia" w:ascii="宋体" w:hAnsi="宋体" w:cs="宋体"/>
                <w:sz w:val="24"/>
              </w:rPr>
              <w:t>*水土保持方案报告书/表（</w:t>
            </w:r>
            <w:r>
              <w:rPr>
                <w:rFonts w:hint="eastAsia" w:ascii="宋体" w:hAnsi="宋体" w:cs="宋体"/>
                <w:kern w:val="0"/>
                <w:sz w:val="24"/>
              </w:rPr>
              <w:t>可容缺</w:t>
            </w:r>
            <w:r>
              <w:rPr>
                <w:rFonts w:hint="eastAsia" w:ascii="宋体" w:hAnsi="宋体" w:cs="宋体"/>
                <w:sz w:val="24"/>
              </w:rPr>
              <w:t>，社会投资简易低风险项目无需提供)</w:t>
            </w:r>
          </w:p>
        </w:tc>
        <w:tc>
          <w:tcPr>
            <w:tcW w:w="717" w:type="dxa"/>
            <w:noWrap w:val="0"/>
            <w:vAlign w:val="center"/>
          </w:tcPr>
          <w:p w14:paraId="5DCD68BA">
            <w:pPr>
              <w:jc w:val="center"/>
              <w:rPr>
                <w:rFonts w:ascii="宋体" w:hAnsi="宋体" w:cs="宋体"/>
                <w:sz w:val="24"/>
              </w:rPr>
            </w:pPr>
            <w:r>
              <w:rPr>
                <w:rFonts w:ascii="宋体" w:hAnsi="宋体" w:cs="宋体"/>
                <w:sz w:val="24"/>
              </w:rPr>
              <w:t>1</w:t>
            </w:r>
          </w:p>
        </w:tc>
        <w:tc>
          <w:tcPr>
            <w:tcW w:w="1769" w:type="dxa"/>
            <w:noWrap w:val="0"/>
            <w:vAlign w:val="center"/>
          </w:tcPr>
          <w:p w14:paraId="632A3E80">
            <w:pPr>
              <w:jc w:val="left"/>
              <w:rPr>
                <w:rFonts w:ascii="宋体" w:hAnsi="宋体" w:cs="宋体"/>
                <w:sz w:val="24"/>
              </w:rPr>
            </w:pPr>
            <w:r>
              <w:rPr>
                <w:rFonts w:hint="eastAsia" w:ascii="宋体" w:hAnsi="宋体" w:cs="宋体"/>
                <w:sz w:val="24"/>
              </w:rPr>
              <w:t>纸质原件及图纸电子版</w:t>
            </w:r>
          </w:p>
        </w:tc>
        <w:tc>
          <w:tcPr>
            <w:tcW w:w="3604" w:type="dxa"/>
            <w:noWrap w:val="0"/>
            <w:vAlign w:val="center"/>
          </w:tcPr>
          <w:p w14:paraId="11DA9C87">
            <w:pPr>
              <w:jc w:val="left"/>
              <w:rPr>
                <w:rFonts w:ascii="宋体" w:hAnsi="宋体" w:cs="宋体"/>
                <w:kern w:val="0"/>
                <w:sz w:val="24"/>
              </w:rPr>
            </w:pPr>
            <w:r>
              <w:rPr>
                <w:rFonts w:hint="eastAsia" w:ascii="宋体" w:hAnsi="宋体" w:cs="宋体"/>
                <w:kern w:val="0"/>
                <w:sz w:val="24"/>
              </w:rPr>
              <w:t>符合要求的纸质版及电子版。</w:t>
            </w:r>
          </w:p>
          <w:p w14:paraId="22105A59">
            <w:pPr>
              <w:jc w:val="left"/>
              <w:rPr>
                <w:rFonts w:ascii="宋体" w:hAnsi="宋体" w:cs="宋体"/>
                <w:kern w:val="0"/>
                <w:sz w:val="24"/>
              </w:rPr>
            </w:pPr>
            <w:r>
              <w:rPr>
                <w:rFonts w:hint="eastAsia" w:ascii="宋体" w:hAnsi="宋体" w:cs="宋体"/>
                <w:kern w:val="0"/>
                <w:sz w:val="24"/>
              </w:rPr>
              <w:t>已经通过区域性综合评价评估的功能区、开发区和连片开发区域内的项目提供</w:t>
            </w:r>
            <w:r>
              <w:rPr>
                <w:rFonts w:hint="eastAsia" w:ascii="宋体" w:hAnsi="宋体" w:cs="宋体"/>
                <w:sz w:val="24"/>
              </w:rPr>
              <w:t>水土保持方案报告表</w:t>
            </w:r>
          </w:p>
        </w:tc>
      </w:tr>
      <w:tr w14:paraId="5B248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8E3971">
            <w:pPr>
              <w:jc w:val="center"/>
              <w:rPr>
                <w:rFonts w:ascii="宋体" w:hAnsi="宋体" w:cs="宋体"/>
                <w:sz w:val="24"/>
              </w:rPr>
            </w:pPr>
            <w:r>
              <w:rPr>
                <w:rFonts w:hint="eastAsia" w:ascii="宋体" w:hAnsi="宋体" w:cs="宋体"/>
                <w:sz w:val="24"/>
              </w:rPr>
              <w:t>8</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14:paraId="71527CAA">
            <w:pPr>
              <w:jc w:val="left"/>
              <w:rPr>
                <w:rFonts w:ascii="宋体" w:hAnsi="宋体" w:cs="宋体"/>
                <w:sz w:val="24"/>
              </w:rPr>
            </w:pPr>
            <w:r>
              <w:rPr>
                <w:rFonts w:hint="eastAsia" w:ascii="宋体" w:hAnsi="宋体" w:cs="宋体"/>
                <w:sz w:val="24"/>
              </w:rPr>
              <w:t>用电登记表</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1E3829B8">
            <w:pPr>
              <w:jc w:val="center"/>
              <w:rPr>
                <w:rFonts w:ascii="宋体" w:hAnsi="宋体" w:cs="宋体"/>
                <w:sz w:val="24"/>
              </w:rPr>
            </w:pPr>
            <w:r>
              <w:rPr>
                <w:rFonts w:hint="eastAsia" w:ascii="宋体" w:hAnsi="宋体" w:cs="宋体"/>
                <w:sz w:val="24"/>
              </w:rPr>
              <w:t>1</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1F82D142">
            <w:pPr>
              <w:jc w:val="left"/>
              <w:rPr>
                <w:rFonts w:ascii="宋体" w:hAnsi="宋体" w:cs="宋体"/>
                <w:sz w:val="24"/>
              </w:rPr>
            </w:pPr>
            <w:r>
              <w:rPr>
                <w:rFonts w:hint="eastAsia" w:ascii="宋体" w:hAnsi="宋体" w:cs="宋体"/>
                <w:sz w:val="24"/>
              </w:rPr>
              <w:t>纸质原件及原件电子扫描件</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14:paraId="27B71D6B">
            <w:pPr>
              <w:jc w:val="left"/>
              <w:rPr>
                <w:rFonts w:ascii="宋体" w:hAnsi="宋体" w:cs="宋体"/>
                <w:kern w:val="0"/>
                <w:sz w:val="24"/>
              </w:rPr>
            </w:pPr>
            <w:r>
              <w:rPr>
                <w:rFonts w:hint="eastAsia" w:ascii="宋体" w:hAnsi="宋体" w:cs="宋体"/>
                <w:kern w:val="0"/>
                <w:sz w:val="24"/>
              </w:rPr>
              <w:t>符合供电公司要求并加盖公章</w:t>
            </w:r>
            <w:r>
              <w:rPr>
                <w:rFonts w:hint="eastAsia" w:ascii="宋体" w:hAnsi="宋体" w:cs="宋体"/>
                <w:kern w:val="0"/>
                <w:sz w:val="24"/>
                <w:lang w:eastAsia="zh-CN"/>
              </w:rPr>
              <w:t>，</w:t>
            </w:r>
            <w:r>
              <w:rPr>
                <w:rFonts w:hint="eastAsia" w:ascii="宋体" w:hAnsi="宋体" w:cs="宋体"/>
                <w:kern w:val="0"/>
                <w:sz w:val="24"/>
                <w:lang w:val="en-US" w:eastAsia="zh-CN"/>
              </w:rPr>
              <w:t>详见后附表</w:t>
            </w:r>
            <w:r>
              <w:rPr>
                <w:rFonts w:hint="eastAsia" w:ascii="宋体" w:hAnsi="宋体" w:cs="宋体"/>
                <w:kern w:val="0"/>
                <w:sz w:val="24"/>
              </w:rPr>
              <w:t>。</w:t>
            </w:r>
          </w:p>
        </w:tc>
      </w:tr>
    </w:tbl>
    <w:p w14:paraId="6BF1B0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73" w:leftChars="0"/>
        <w:textAlignment w:val="auto"/>
        <w:rPr>
          <w:rFonts w:hint="default"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十二、受理条件</w:t>
      </w:r>
    </w:p>
    <w:p w14:paraId="1CDB5C49">
      <w:pPr>
        <w:pStyle w:val="6"/>
        <w:keepNext w:val="0"/>
        <w:keepLines w:val="0"/>
        <w:pageBreakBefore w:val="0"/>
        <w:widowControl w:val="0"/>
        <w:kinsoku/>
        <w:wordWrap/>
        <w:overflowPunct/>
        <w:topLinePunct w:val="0"/>
        <w:bidi w:val="0"/>
        <w:snapToGrid/>
        <w:spacing w:line="540" w:lineRule="exact"/>
        <w:ind w:firstLine="648" w:firstLineChars="200"/>
        <w:rPr>
          <w:rFonts w:hint="eastAsia" w:ascii="FangSong_GB2312" w:hAnsi="FangSong_GB2312" w:eastAsia="FangSong_GB2312" w:cs="FangSong_GB2312"/>
          <w:color w:val="auto"/>
          <w:spacing w:val="7"/>
          <w:kern w:val="2"/>
          <w:sz w:val="31"/>
          <w:szCs w:val="31"/>
          <w:lang w:val="en-US" w:eastAsia="zh-CN" w:bidi="ar-SA"/>
        </w:rPr>
      </w:pPr>
      <w:r>
        <w:rPr>
          <w:rFonts w:hint="eastAsia" w:ascii="FangSong_GB2312" w:hAnsi="FangSong_GB2312" w:eastAsia="FangSong_GB2312" w:cs="FangSong_GB2312"/>
          <w:color w:val="auto"/>
          <w:spacing w:val="7"/>
          <w:kern w:val="2"/>
          <w:sz w:val="31"/>
          <w:szCs w:val="31"/>
          <w:lang w:val="en-US" w:eastAsia="zh-CN" w:bidi="ar-SA"/>
        </w:rPr>
        <w:t>申请建设工程设计方案联合审查，应当具备下列条件：</w:t>
      </w:r>
    </w:p>
    <w:p w14:paraId="1BFB1887">
      <w:pPr>
        <w:pStyle w:val="6"/>
        <w:keepNext w:val="0"/>
        <w:keepLines w:val="0"/>
        <w:pageBreakBefore w:val="0"/>
        <w:widowControl w:val="0"/>
        <w:kinsoku/>
        <w:wordWrap/>
        <w:overflowPunct/>
        <w:topLinePunct w:val="0"/>
        <w:bidi w:val="0"/>
        <w:snapToGrid/>
        <w:spacing w:line="540" w:lineRule="exact"/>
        <w:ind w:firstLine="648" w:firstLineChars="200"/>
        <w:rPr>
          <w:rFonts w:hint="eastAsia" w:ascii="FangSong_GB2312" w:hAnsi="FangSong_GB2312" w:eastAsia="FangSong_GB2312" w:cs="FangSong_GB2312"/>
          <w:color w:val="auto"/>
          <w:spacing w:val="7"/>
          <w:kern w:val="2"/>
          <w:sz w:val="31"/>
          <w:szCs w:val="31"/>
          <w:lang w:val="en-US" w:eastAsia="zh-CN" w:bidi="ar-SA"/>
        </w:rPr>
      </w:pPr>
      <w:r>
        <w:rPr>
          <w:rFonts w:hint="eastAsia" w:ascii="FangSong_GB2312" w:hAnsi="FangSong_GB2312" w:eastAsia="FangSong_GB2312" w:cs="FangSong_GB2312"/>
          <w:color w:val="auto"/>
          <w:spacing w:val="7"/>
          <w:kern w:val="2"/>
          <w:sz w:val="31"/>
          <w:szCs w:val="31"/>
          <w:lang w:val="en-US" w:eastAsia="zh-CN" w:bidi="ar-SA"/>
        </w:rPr>
        <w:t>1.取得使用土地批准文件（利用自有土地建设的改建、扩建项目已获得规划设计条件）；</w:t>
      </w:r>
    </w:p>
    <w:p w14:paraId="12BC56EB">
      <w:pPr>
        <w:pStyle w:val="6"/>
        <w:keepNext w:val="0"/>
        <w:keepLines w:val="0"/>
        <w:pageBreakBefore w:val="0"/>
        <w:widowControl w:val="0"/>
        <w:kinsoku/>
        <w:wordWrap/>
        <w:overflowPunct/>
        <w:topLinePunct w:val="0"/>
        <w:bidi w:val="0"/>
        <w:snapToGrid/>
        <w:spacing w:line="540" w:lineRule="exact"/>
        <w:ind w:firstLine="648" w:firstLineChars="200"/>
        <w:rPr>
          <w:rFonts w:hint="eastAsia" w:ascii="FangSong_GB2312" w:hAnsi="FangSong_GB2312" w:eastAsia="FangSong_GB2312" w:cs="FangSong_GB2312"/>
          <w:color w:val="auto"/>
          <w:spacing w:val="7"/>
          <w:kern w:val="2"/>
          <w:sz w:val="31"/>
          <w:szCs w:val="31"/>
          <w:lang w:val="en-US" w:eastAsia="zh-CN" w:bidi="ar-SA"/>
        </w:rPr>
      </w:pPr>
      <w:r>
        <w:rPr>
          <w:rFonts w:hint="eastAsia" w:ascii="FangSong_GB2312" w:hAnsi="FangSong_GB2312" w:eastAsia="FangSong_GB2312" w:cs="FangSong_GB2312"/>
          <w:color w:val="auto"/>
          <w:spacing w:val="7"/>
          <w:kern w:val="2"/>
          <w:sz w:val="31"/>
          <w:szCs w:val="31"/>
          <w:lang w:val="en-US" w:eastAsia="zh-CN" w:bidi="ar-SA"/>
        </w:rPr>
        <w:t>2.勘察、设计单位已依法确定；</w:t>
      </w:r>
    </w:p>
    <w:p w14:paraId="09E6979B">
      <w:pPr>
        <w:pStyle w:val="6"/>
        <w:keepNext w:val="0"/>
        <w:keepLines w:val="0"/>
        <w:pageBreakBefore w:val="0"/>
        <w:widowControl w:val="0"/>
        <w:kinsoku/>
        <w:wordWrap/>
        <w:overflowPunct/>
        <w:topLinePunct w:val="0"/>
        <w:bidi w:val="0"/>
        <w:snapToGrid/>
        <w:spacing w:line="540" w:lineRule="exact"/>
        <w:ind w:firstLine="648" w:firstLineChars="200"/>
        <w:rPr>
          <w:rFonts w:hint="eastAsia" w:ascii="FangSong_GB2312" w:hAnsi="FangSong_GB2312" w:eastAsia="FangSong_GB2312" w:cs="FangSong_GB2312"/>
          <w:color w:val="auto"/>
          <w:spacing w:val="7"/>
          <w:kern w:val="2"/>
          <w:sz w:val="31"/>
          <w:szCs w:val="31"/>
          <w:lang w:val="en-US" w:eastAsia="zh-CN" w:bidi="ar-SA"/>
        </w:rPr>
      </w:pPr>
      <w:r>
        <w:rPr>
          <w:rFonts w:hint="eastAsia" w:ascii="FangSong_GB2312" w:hAnsi="FangSong_GB2312" w:eastAsia="FangSong_GB2312" w:cs="FangSong_GB2312"/>
          <w:color w:val="auto"/>
          <w:spacing w:val="7"/>
          <w:kern w:val="2"/>
          <w:sz w:val="31"/>
          <w:szCs w:val="31"/>
          <w:lang w:val="en-US" w:eastAsia="zh-CN" w:bidi="ar-SA"/>
        </w:rPr>
        <w:t>3.设计方案已编制完成；</w:t>
      </w:r>
    </w:p>
    <w:p w14:paraId="75FF03A0">
      <w:pPr>
        <w:pStyle w:val="6"/>
        <w:keepNext w:val="0"/>
        <w:keepLines w:val="0"/>
        <w:pageBreakBefore w:val="0"/>
        <w:widowControl w:val="0"/>
        <w:kinsoku/>
        <w:wordWrap/>
        <w:overflowPunct/>
        <w:topLinePunct w:val="0"/>
        <w:bidi w:val="0"/>
        <w:snapToGrid/>
        <w:spacing w:line="540" w:lineRule="exact"/>
        <w:ind w:firstLine="648" w:firstLineChars="200"/>
        <w:rPr>
          <w:rFonts w:hint="eastAsia" w:ascii="FangSong_GB2312" w:hAnsi="FangSong_GB2312" w:eastAsia="FangSong_GB2312" w:cs="FangSong_GB2312"/>
          <w:color w:val="auto"/>
          <w:spacing w:val="7"/>
          <w:kern w:val="2"/>
          <w:sz w:val="31"/>
          <w:szCs w:val="31"/>
          <w:lang w:val="en-US" w:eastAsia="zh-CN" w:bidi="ar-SA"/>
        </w:rPr>
      </w:pPr>
      <w:r>
        <w:rPr>
          <w:rFonts w:hint="eastAsia" w:ascii="FangSong_GB2312" w:hAnsi="FangSong_GB2312" w:eastAsia="FangSong_GB2312" w:cs="FangSong_GB2312"/>
          <w:color w:val="auto"/>
          <w:spacing w:val="7"/>
          <w:kern w:val="2"/>
          <w:sz w:val="31"/>
          <w:szCs w:val="31"/>
          <w:lang w:val="en-US" w:eastAsia="zh-CN" w:bidi="ar-SA"/>
        </w:rPr>
        <w:t>4.申请材料清单中应当提交的材料已经准备完成；</w:t>
      </w:r>
    </w:p>
    <w:p w14:paraId="2E7F6672">
      <w:pPr>
        <w:pStyle w:val="6"/>
        <w:keepNext w:val="0"/>
        <w:keepLines w:val="0"/>
        <w:pageBreakBefore w:val="0"/>
        <w:widowControl w:val="0"/>
        <w:numPr>
          <w:ilvl w:val="0"/>
          <w:numId w:val="0"/>
        </w:numPr>
        <w:kinsoku/>
        <w:wordWrap/>
        <w:overflowPunct/>
        <w:topLinePunct w:val="0"/>
        <w:bidi w:val="0"/>
        <w:ind w:firstLine="648" w:firstLineChars="200"/>
        <w:rPr>
          <w:rFonts w:hint="eastAsia" w:ascii="FangSong_GB2312" w:hAnsi="FangSong_GB2312" w:eastAsia="FangSong_GB2312" w:cs="FangSong_GB2312"/>
          <w:color w:val="auto"/>
          <w:spacing w:val="7"/>
          <w:kern w:val="2"/>
          <w:sz w:val="31"/>
          <w:szCs w:val="31"/>
          <w:lang w:val="en-US" w:eastAsia="zh-CN" w:bidi="ar-SA"/>
        </w:rPr>
      </w:pPr>
      <w:r>
        <w:rPr>
          <w:rFonts w:hint="eastAsia" w:ascii="FangSong_GB2312" w:hAnsi="FangSong_GB2312" w:eastAsia="FangSong_GB2312" w:cs="FangSong_GB2312"/>
          <w:color w:val="auto"/>
          <w:spacing w:val="7"/>
          <w:kern w:val="2"/>
          <w:sz w:val="31"/>
          <w:szCs w:val="31"/>
          <w:lang w:val="en-US" w:eastAsia="zh-CN" w:bidi="ar-SA"/>
        </w:rPr>
        <w:t>5.社会投资类建筑工程项目建设用地规划许可证可与建设工程规划许可证同步核发，建设单位可一并提出需求。</w:t>
      </w:r>
    </w:p>
    <w:p w14:paraId="6F37347C">
      <w:pPr>
        <w:pStyle w:val="6"/>
        <w:keepNext w:val="0"/>
        <w:keepLines w:val="0"/>
        <w:pageBreakBefore w:val="0"/>
        <w:widowControl w:val="0"/>
        <w:numPr>
          <w:ilvl w:val="0"/>
          <w:numId w:val="0"/>
        </w:numPr>
        <w:kinsoku/>
        <w:wordWrap/>
        <w:overflowPunct/>
        <w:topLinePunct w:val="0"/>
        <w:bidi w:val="0"/>
        <w:ind w:firstLine="644" w:firstLineChars="200"/>
        <w:rPr>
          <w:rFonts w:hint="eastAsia" w:ascii="黑体" w:hAnsi="黑体" w:eastAsia="黑体" w:cs="黑体"/>
          <w:color w:val="auto"/>
          <w:spacing w:val="6"/>
          <w:kern w:val="2"/>
          <w:sz w:val="31"/>
          <w:szCs w:val="31"/>
          <w:lang w:val="en-US" w:eastAsia="zh-CN" w:bidi="ar-SA"/>
        </w:rPr>
      </w:pPr>
      <w:r>
        <w:rPr>
          <w:rFonts w:hint="eastAsia" w:ascii="黑体" w:hAnsi="黑体" w:eastAsia="黑体" w:cs="黑体"/>
          <w:color w:val="auto"/>
          <w:spacing w:val="6"/>
          <w:kern w:val="2"/>
          <w:sz w:val="31"/>
          <w:szCs w:val="31"/>
          <w:lang w:val="en-US" w:eastAsia="zh-CN" w:bidi="ar-SA"/>
        </w:rPr>
        <w:t>十三、服务对象</w:t>
      </w:r>
    </w:p>
    <w:p w14:paraId="2B790DA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本市行政区域内新建、改建、扩建的政府投资类项目，社会投资核准类项目。</w:t>
      </w:r>
    </w:p>
    <w:p w14:paraId="102753FE">
      <w:pPr>
        <w:spacing w:line="560" w:lineRule="exact"/>
        <w:ind w:firstLine="644" w:firstLineChars="200"/>
        <w:rPr>
          <w:rFonts w:hint="default"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十四、办理流程</w:t>
      </w:r>
    </w:p>
    <w:p w14:paraId="30575AAD">
      <w:pPr>
        <w:pStyle w:val="2"/>
        <w:keepNext w:val="0"/>
        <w:keepLines w:val="0"/>
        <w:pageBreakBefore w:val="0"/>
        <w:widowControl w:val="0"/>
        <w:kinsoku/>
        <w:wordWrap/>
        <w:overflowPunct/>
        <w:topLinePunct w:val="0"/>
        <w:autoSpaceDE/>
        <w:autoSpaceDN/>
        <w:bidi w:val="0"/>
        <w:adjustRightInd/>
        <w:snapToGrid/>
        <w:spacing w:line="560" w:lineRule="exact"/>
        <w:ind w:left="675"/>
        <w:textAlignment w:val="auto"/>
        <w:rPr>
          <w:rFonts w:hint="eastAsia" w:ascii="仿宋_GB2312" w:hAnsi="仿宋_GB2312" w:eastAsia="仿宋_GB2312" w:cs="仿宋_GB2312"/>
          <w:spacing w:val="9"/>
          <w:kern w:val="2"/>
          <w:sz w:val="31"/>
          <w:szCs w:val="31"/>
          <w:lang w:val="en-US" w:eastAsia="zh-CN" w:bidi="ar-SA"/>
        </w:rPr>
      </w:pPr>
      <w:r>
        <w:rPr>
          <w:rFonts w:hint="eastAsia" w:ascii="仿宋_GB2312" w:hAnsi="仿宋_GB2312" w:eastAsia="仿宋_GB2312" w:cs="仿宋_GB2312"/>
          <w:spacing w:val="9"/>
          <w:kern w:val="2"/>
          <w:sz w:val="31"/>
          <w:szCs w:val="31"/>
          <w:lang w:val="en-US" w:eastAsia="zh-CN" w:bidi="ar-SA"/>
        </w:rPr>
        <w:t>申请→受理→分发→审核→办结</w:t>
      </w:r>
    </w:p>
    <w:p w14:paraId="50B9C75B">
      <w:pPr>
        <w:keepNext w:val="0"/>
        <w:keepLines w:val="0"/>
        <w:pageBreakBefore w:val="0"/>
        <w:widowControl w:val="0"/>
        <w:kinsoku/>
        <w:wordWrap/>
        <w:overflowPunct/>
        <w:topLinePunct w:val="0"/>
        <w:autoSpaceDE/>
        <w:autoSpaceDN/>
        <w:bidi w:val="0"/>
        <w:adjustRightInd/>
        <w:snapToGrid/>
        <w:spacing w:line="560" w:lineRule="exact"/>
        <w:ind w:right="44" w:firstLine="656" w:firstLineChars="200"/>
        <w:textAlignment w:val="auto"/>
        <w:rPr>
          <w:rFonts w:hint="eastAsia" w:ascii="仿宋_GB2312" w:hAnsi="仿宋_GB2312" w:eastAsia="仿宋_GB2312" w:cs="仿宋_GB2312"/>
          <w:spacing w:val="9"/>
          <w:sz w:val="31"/>
          <w:szCs w:val="31"/>
          <w:lang w:val="en-US" w:eastAsia="zh-CN"/>
        </w:rPr>
      </w:pPr>
      <w:r>
        <w:rPr>
          <w:rFonts w:hint="eastAsia" w:ascii="仿宋_GB2312" w:hAnsi="仿宋_GB2312" w:eastAsia="仿宋_GB2312" w:cs="仿宋_GB2312"/>
          <w:spacing w:val="9"/>
          <w:sz w:val="31"/>
          <w:szCs w:val="31"/>
          <w:lang w:val="en-US" w:eastAsia="zh-CN"/>
        </w:rPr>
        <w:t>线上：申请人登录济南政务服务一网通办网站，点击工程建设项目审批服务专区，选择网上申报大厅，登录后选择区划、投资类型、高效办成一件事、建设工程规划许可“一件事”办理，按照提示填写申请信息并上传申请材料。</w:t>
      </w:r>
    </w:p>
    <w:p w14:paraId="6742B7EF">
      <w:pPr>
        <w:numPr>
          <w:ilvl w:val="0"/>
          <w:numId w:val="0"/>
        </w:numPr>
        <w:ind w:firstLine="656" w:firstLineChars="200"/>
        <w:rPr>
          <w:rFonts w:hint="eastAsia" w:ascii="仿宋_GB2312" w:hAnsi="仿宋_GB2312" w:eastAsia="微软雅黑" w:cs="仿宋_GB2312"/>
          <w:spacing w:val="9"/>
          <w:sz w:val="31"/>
          <w:szCs w:val="31"/>
          <w:lang w:val="en-US" w:eastAsia="zh-CN"/>
        </w:rPr>
      </w:pPr>
      <w:r>
        <w:rPr>
          <w:rFonts w:hint="eastAsia" w:ascii="仿宋_GB2312" w:hAnsi="仿宋_GB2312" w:eastAsia="仿宋_GB2312" w:cs="仿宋_GB2312"/>
          <w:spacing w:val="9"/>
          <w:sz w:val="31"/>
          <w:szCs w:val="31"/>
          <w:lang w:val="en-US" w:eastAsia="zh-CN"/>
        </w:rPr>
        <w:t>线下：申请人携带申请材料根据办理地址到</w:t>
      </w:r>
      <w:r>
        <w:rPr>
          <w:rFonts w:hint="eastAsia" w:ascii="FangSong_GB2312" w:hAnsi="FangSong_GB2312" w:eastAsia="FangSong_GB2312" w:cs="FangSong_GB2312"/>
          <w:spacing w:val="7"/>
          <w:sz w:val="31"/>
          <w:szCs w:val="31"/>
          <w:lang w:val="en-US" w:eastAsia="zh-CN"/>
        </w:rPr>
        <w:t>各级政务服务中心</w:t>
      </w:r>
      <w:r>
        <w:rPr>
          <w:rFonts w:hint="eastAsia" w:ascii="仿宋_GB2312" w:hAnsi="仿宋_GB2312" w:eastAsia="仿宋_GB2312" w:cs="仿宋_GB2312"/>
          <w:spacing w:val="9"/>
          <w:sz w:val="31"/>
          <w:szCs w:val="31"/>
          <w:lang w:val="en-US" w:eastAsia="zh-CN"/>
        </w:rPr>
        <w:t>建设工程规划许可</w:t>
      </w:r>
      <w:r>
        <w:rPr>
          <w:rFonts w:hint="eastAsia" w:ascii="FangSong_GB2312" w:hAnsi="FangSong_GB2312" w:eastAsia="FangSong_GB2312" w:cs="FangSong_GB2312"/>
          <w:spacing w:val="7"/>
          <w:sz w:val="31"/>
          <w:szCs w:val="31"/>
          <w:lang w:val="en-US" w:eastAsia="zh-CN"/>
        </w:rPr>
        <w:t>“一件事”窗口办理。</w:t>
      </w:r>
    </w:p>
    <w:p w14:paraId="782D3D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73" w:leftChars="0"/>
        <w:textAlignment w:val="auto"/>
        <w:rPr>
          <w:rFonts w:hint="eastAsia"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十五、办理形式</w:t>
      </w:r>
    </w:p>
    <w:p w14:paraId="14DACE14">
      <w:pPr>
        <w:keepNext w:val="0"/>
        <w:keepLines w:val="0"/>
        <w:pageBreakBefore w:val="0"/>
        <w:widowControl w:val="0"/>
        <w:kinsoku/>
        <w:wordWrap/>
        <w:overflowPunct/>
        <w:topLinePunct w:val="0"/>
        <w:autoSpaceDE/>
        <w:autoSpaceDN/>
        <w:bidi w:val="0"/>
        <w:adjustRightInd/>
        <w:snapToGrid/>
        <w:spacing w:line="540" w:lineRule="exact"/>
        <w:ind w:right="44" w:firstLine="648" w:firstLineChars="200"/>
        <w:textAlignment w:val="auto"/>
        <w:rPr>
          <w:rFonts w:ascii="FangSong_GB2312" w:hAnsi="FangSong_GB2312" w:eastAsia="FangSong_GB2312" w:cs="FangSong_GB2312"/>
          <w:spacing w:val="7"/>
          <w:sz w:val="31"/>
          <w:szCs w:val="31"/>
        </w:rPr>
      </w:pPr>
      <w:r>
        <w:rPr>
          <w:rFonts w:ascii="FangSong_GB2312" w:hAnsi="FangSong_GB2312" w:eastAsia="FangSong_GB2312" w:cs="FangSong_GB2312"/>
          <w:spacing w:val="7"/>
          <w:sz w:val="31"/>
          <w:szCs w:val="31"/>
        </w:rPr>
        <w:t>1.现场申请</w:t>
      </w:r>
    </w:p>
    <w:tbl>
      <w:tblPr>
        <w:tblStyle w:val="3"/>
        <w:tblW w:w="8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5"/>
        <w:gridCol w:w="6402"/>
      </w:tblGrid>
      <w:tr w14:paraId="69F9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2FA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 xml:space="preserve">      名称</w:t>
            </w:r>
          </w:p>
        </w:tc>
        <w:tc>
          <w:tcPr>
            <w:tcW w:w="6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955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建设工程规划许可“一件事”窗口地址名称</w:t>
            </w:r>
          </w:p>
        </w:tc>
      </w:tr>
      <w:tr w14:paraId="20E6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214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市级</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14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山东济南市市中区站前路9号济南市政务服务中心3楼项目服务专区</w:t>
            </w:r>
            <w:r>
              <w:rPr>
                <w:rFonts w:hint="eastAsia" w:ascii="仿宋_GB2312" w:hAnsi="仿宋_GB2312" w:eastAsia="仿宋_GB2312" w:cs="仿宋_GB2312"/>
                <w:i w:val="0"/>
                <w:iCs w:val="0"/>
                <w:color w:val="000000"/>
                <w:kern w:val="0"/>
                <w:sz w:val="22"/>
                <w:szCs w:val="22"/>
                <w:highlight w:val="none"/>
                <w:u w:val="none"/>
                <w:lang w:val="en-US" w:eastAsia="zh-CN" w:bidi="ar"/>
              </w:rPr>
              <w:t>D03、D04窗口</w:t>
            </w:r>
          </w:p>
        </w:tc>
      </w:tr>
      <w:tr w14:paraId="50C2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C9D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历城区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3A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济南市历城区文苑街1500号历城区政务服务中心2楼C203窗口</w:t>
            </w:r>
          </w:p>
        </w:tc>
      </w:tr>
      <w:tr w14:paraId="3560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295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长清区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D2D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济南市长清区通发大道1399号，长清区政务服务中心一楼工程建设窗口B12、B13</w:t>
            </w:r>
          </w:p>
        </w:tc>
      </w:tr>
      <w:tr w14:paraId="5EB3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625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平阴县</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CD4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rPr>
              <w:t>济南市平阴县榆山路43号茂昌银座D座政务服务中心6楼4号工程建设窗口</w:t>
            </w:r>
          </w:p>
        </w:tc>
      </w:tr>
      <w:tr w14:paraId="15E3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D9A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商河县</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D92">
            <w:pPr>
              <w:keepNext w:val="0"/>
              <w:keepLines w:val="0"/>
              <w:widowControl/>
              <w:suppressLineNumbers w:val="0"/>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济南市商河县彩虹路1199号商河县政务服务中心三楼工程建设服务区E08"一件事”窗口</w:t>
            </w:r>
          </w:p>
        </w:tc>
      </w:tr>
      <w:tr w14:paraId="6277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83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济阳区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20A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济南市济阳区济北街道安康街29号市民中心三楼东厅D2-D4号窗口</w:t>
            </w:r>
          </w:p>
        </w:tc>
      </w:tr>
      <w:tr w14:paraId="38D5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FB0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莱芜区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714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济南市莱芜区龙潭东大街001号政务服务大厅1楼工程建设服务区B212窗口</w:t>
            </w:r>
          </w:p>
        </w:tc>
      </w:tr>
      <w:tr w14:paraId="0386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987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高新区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9C5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济南高新区舜华路750号高新区政务服务中心二楼南厅208窗口</w:t>
            </w:r>
          </w:p>
        </w:tc>
      </w:tr>
      <w:tr w14:paraId="11A2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BB4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钢城区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1718">
            <w:pPr>
              <w:keepNext w:val="0"/>
              <w:keepLines w:val="0"/>
              <w:widowControl/>
              <w:suppressLineNumbers w:val="0"/>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济南市钢城区艾山街道府前大街29号钢城区政务服务大厅二楼I94规划服务窗口</w:t>
            </w:r>
          </w:p>
        </w:tc>
      </w:tr>
      <w:tr w14:paraId="3FCB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05A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章丘区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1A5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济南市章丘区行政审批服务局三楼东厅C28窗口</w:t>
            </w:r>
          </w:p>
        </w:tc>
      </w:tr>
      <w:tr w14:paraId="3CB0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AA3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起步区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55A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济南新旧动能转换起步区大桥街道济水路起步区政务服务大厅二楼工程审批窗口C30、C32窗口</w:t>
            </w:r>
          </w:p>
        </w:tc>
      </w:tr>
      <w:tr w14:paraId="15DA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A89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长清大学城</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937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济南市长清区沃德大道135号济南长清大学城管委会院内审批大厅工程建设专区综合窗口</w:t>
            </w:r>
          </w:p>
        </w:tc>
      </w:tr>
      <w:tr w14:paraId="2D20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18E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明水经开区</w:t>
            </w:r>
          </w:p>
        </w:tc>
        <w:tc>
          <w:tcPr>
            <w:tcW w:w="6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21C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济南市章丘区世纪大道7558号明水经济技术开发区企业服务中心5号受理窗口</w:t>
            </w:r>
          </w:p>
        </w:tc>
      </w:tr>
    </w:tbl>
    <w:p w14:paraId="07CE1087">
      <w:pPr>
        <w:keepNext w:val="0"/>
        <w:keepLines w:val="0"/>
        <w:pageBreakBefore w:val="0"/>
        <w:widowControl w:val="0"/>
        <w:kinsoku/>
        <w:wordWrap/>
        <w:overflowPunct/>
        <w:topLinePunct w:val="0"/>
        <w:autoSpaceDE/>
        <w:autoSpaceDN/>
        <w:bidi w:val="0"/>
        <w:adjustRightInd/>
        <w:snapToGrid/>
        <w:spacing w:line="540" w:lineRule="exact"/>
        <w:ind w:right="42" w:firstLine="652" w:firstLineChars="200"/>
        <w:textAlignment w:val="auto"/>
        <w:rPr>
          <w:rFonts w:ascii="FangSong_GB2312" w:hAnsi="FangSong_GB2312" w:eastAsia="FangSong_GB2312" w:cs="FangSong_GB2312"/>
          <w:spacing w:val="8"/>
          <w:sz w:val="31"/>
          <w:szCs w:val="31"/>
        </w:rPr>
      </w:pPr>
      <w:r>
        <w:rPr>
          <w:rFonts w:ascii="FangSong_GB2312" w:hAnsi="FangSong_GB2312" w:eastAsia="FangSong_GB2312" w:cs="FangSong_GB2312"/>
          <w:spacing w:val="8"/>
          <w:sz w:val="31"/>
          <w:szCs w:val="31"/>
        </w:rPr>
        <w:t>2.线上申请</w:t>
      </w:r>
    </w:p>
    <w:p w14:paraId="40DD929F">
      <w:pPr>
        <w:keepNext w:val="0"/>
        <w:keepLines w:val="0"/>
        <w:pageBreakBefore w:val="0"/>
        <w:widowControl w:val="0"/>
        <w:kinsoku/>
        <w:wordWrap/>
        <w:overflowPunct/>
        <w:topLinePunct w:val="0"/>
        <w:autoSpaceDE/>
        <w:autoSpaceDN/>
        <w:bidi w:val="0"/>
        <w:adjustRightInd/>
        <w:snapToGrid/>
        <w:spacing w:line="540" w:lineRule="exact"/>
        <w:ind w:right="44" w:firstLine="648" w:firstLineChars="200"/>
        <w:textAlignment w:val="auto"/>
        <w:rPr>
          <w:rFonts w:hint="eastAsia" w:ascii="仿宋_GB2312" w:hAnsi="仿宋_GB2312" w:eastAsia="仿宋_GB2312" w:cs="仿宋_GB2312"/>
          <w:spacing w:val="9"/>
          <w:sz w:val="31"/>
          <w:szCs w:val="31"/>
          <w:lang w:val="en-US" w:eastAsia="zh-CN"/>
        </w:rPr>
      </w:pPr>
      <w:r>
        <w:rPr>
          <w:rFonts w:hint="eastAsia" w:ascii="FangSong_GB2312" w:hAnsi="FangSong_GB2312" w:eastAsia="FangSong_GB2312" w:cs="FangSong_GB2312"/>
          <w:spacing w:val="7"/>
          <w:sz w:val="31"/>
          <w:szCs w:val="31"/>
          <w:lang w:val="en-US" w:eastAsia="zh-CN"/>
        </w:rPr>
        <w:t>http</w:t>
      </w:r>
      <w:r>
        <w:rPr>
          <w:rFonts w:hint="eastAsia" w:ascii="FangSong_GB2312" w:hAnsi="FangSong_GB2312" w:eastAsia="FangSong_GB2312" w:cs="FangSong_GB2312"/>
          <w:spacing w:val="7"/>
          <w:sz w:val="31"/>
          <w:szCs w:val="31"/>
        </w:rPr>
        <w:t>://zwfw.jinan.gov.cn/gcjsxm/icity/engineering/gcjsxmview</w:t>
      </w:r>
    </w:p>
    <w:p w14:paraId="44B288AB">
      <w:pPr>
        <w:keepNext w:val="0"/>
        <w:keepLines w:val="0"/>
        <w:pageBreakBefore w:val="0"/>
        <w:widowControl w:val="0"/>
        <w:kinsoku/>
        <w:wordWrap/>
        <w:overflowPunct/>
        <w:topLinePunct w:val="0"/>
        <w:autoSpaceDE/>
        <w:autoSpaceDN/>
        <w:bidi w:val="0"/>
        <w:adjustRightInd/>
        <w:snapToGrid/>
        <w:spacing w:line="540" w:lineRule="exact"/>
        <w:ind w:firstLine="648" w:firstLineChars="200"/>
        <w:textAlignment w:val="auto"/>
        <w:rPr>
          <w:rFonts w:hint="eastAsia" w:ascii="黑体" w:hAnsi="黑体" w:eastAsia="黑体" w:cs="黑体"/>
          <w:sz w:val="31"/>
          <w:szCs w:val="31"/>
          <w:lang w:val="en-US" w:eastAsia="zh-CN"/>
        </w:rPr>
      </w:pPr>
      <w:r>
        <w:rPr>
          <w:rFonts w:hint="eastAsia" w:ascii="黑体" w:hAnsi="黑体" w:eastAsia="黑体" w:cs="黑体"/>
          <w:spacing w:val="7"/>
          <w:sz w:val="31"/>
          <w:szCs w:val="31"/>
          <w:lang w:val="en-US" w:eastAsia="zh-CN"/>
        </w:rPr>
        <w:t>十六</w:t>
      </w:r>
      <w:r>
        <w:rPr>
          <w:rFonts w:ascii="黑体" w:hAnsi="黑体" w:eastAsia="黑体" w:cs="黑体"/>
          <w:spacing w:val="7"/>
          <w:sz w:val="31"/>
          <w:szCs w:val="31"/>
        </w:rPr>
        <w:t>、办理</w:t>
      </w:r>
      <w:r>
        <w:rPr>
          <w:rFonts w:hint="eastAsia" w:ascii="黑体" w:hAnsi="黑体" w:eastAsia="黑体" w:cs="黑体"/>
          <w:spacing w:val="7"/>
          <w:sz w:val="31"/>
          <w:szCs w:val="31"/>
          <w:lang w:val="en-US" w:eastAsia="zh-CN"/>
        </w:rPr>
        <w:t>地点</w:t>
      </w:r>
    </w:p>
    <w:tbl>
      <w:tblPr>
        <w:tblStyle w:val="3"/>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5"/>
        <w:gridCol w:w="3452"/>
        <w:gridCol w:w="3452"/>
      </w:tblGrid>
      <w:tr w14:paraId="5CB3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926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 xml:space="preserve">      名称</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98F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建设工程规划许可“一件事”窗口地址名称</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CC06">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建设工程规划许可“一件事”咨询电话</w:t>
            </w:r>
          </w:p>
        </w:tc>
      </w:tr>
      <w:tr w14:paraId="0BEF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639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市级</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3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济南市市中区站前路9号济南市政务服务中心3楼项目服务专区</w:t>
            </w:r>
            <w:r>
              <w:rPr>
                <w:rFonts w:hint="eastAsia" w:ascii="仿宋_GB2312" w:hAnsi="仿宋_GB2312" w:eastAsia="仿宋_GB2312" w:cs="仿宋_GB2312"/>
                <w:i w:val="0"/>
                <w:iCs w:val="0"/>
                <w:color w:val="000000"/>
                <w:kern w:val="0"/>
                <w:sz w:val="22"/>
                <w:szCs w:val="22"/>
                <w:highlight w:val="none"/>
                <w:u w:val="none"/>
                <w:lang w:val="en-US" w:eastAsia="zh-CN" w:bidi="ar"/>
              </w:rPr>
              <w:t>D03、D04窗口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D8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0531-68967400、68967474</w:t>
            </w:r>
          </w:p>
        </w:tc>
      </w:tr>
      <w:tr w14:paraId="043F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2B9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历城区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43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济南市历城区文苑街1500号历城区政务服务中心2楼C203窗口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424C">
            <w:pPr>
              <w:keepNext w:val="0"/>
              <w:keepLines w:val="0"/>
              <w:widowControl/>
              <w:suppressLineNumbers w:val="0"/>
              <w:ind w:firstLine="660" w:firstLineChars="30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0531-66899387</w:t>
            </w:r>
          </w:p>
        </w:tc>
      </w:tr>
      <w:tr w14:paraId="5F88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23C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长清区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1A6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济南市长清区通发大道1399号，长清区政务服务中心一楼工程建设窗口B12、B13</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648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0531-87236696</w:t>
            </w:r>
          </w:p>
        </w:tc>
      </w:tr>
      <w:tr w14:paraId="3671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EF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平阴县</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06F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rPr>
              <w:t>济南市平阴县榆山路43号茂昌银座D座政务服务中心6楼4号工程建设窗口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79C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rPr>
              <w:t>0531-87854108</w:t>
            </w:r>
          </w:p>
        </w:tc>
      </w:tr>
      <w:tr w14:paraId="1FDA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22D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商河县</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5446">
            <w:pPr>
              <w:keepNext w:val="0"/>
              <w:keepLines w:val="0"/>
              <w:widowControl/>
              <w:suppressLineNumbers w:val="0"/>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济南市商河县彩虹路1199号商河县政务服务中心三楼工程建设服务区E08"一件事”窗口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EE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0531-84881651</w:t>
            </w:r>
          </w:p>
        </w:tc>
      </w:tr>
      <w:tr w14:paraId="77F3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733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济阳区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7F2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济南市济阳区济北街道安康街29号市民中心三楼东厅D2-D4号窗口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7D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0531-84237809</w:t>
            </w:r>
          </w:p>
        </w:tc>
      </w:tr>
      <w:tr w14:paraId="7231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8F1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莱芜区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AA1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济南市莱芜区龙潭东大街001号政务服务大厅1楼工程建设服务区B212窗口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6E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0531-76126712</w:t>
            </w:r>
          </w:p>
        </w:tc>
      </w:tr>
      <w:tr w14:paraId="0FEB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396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高新区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247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济南高新区舜华路750号高新区政务服务中心二楼南厅208窗口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ED1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0531-88875593</w:t>
            </w:r>
          </w:p>
        </w:tc>
      </w:tr>
      <w:tr w14:paraId="2548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6C6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钢城区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E5D5">
            <w:pPr>
              <w:keepNext w:val="0"/>
              <w:keepLines w:val="0"/>
              <w:widowControl/>
              <w:suppressLineNumbers w:val="0"/>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济南市钢城区艾山街道府前大街29号钢城区政务服务大厅二楼I94规划服务窗口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39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0531-76895025</w:t>
            </w:r>
          </w:p>
        </w:tc>
      </w:tr>
      <w:tr w14:paraId="5E41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C91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章丘区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05A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济南市章丘区行政审批服务局三楼东厅C28窗口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A6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0531-83278072</w:t>
            </w:r>
          </w:p>
        </w:tc>
      </w:tr>
      <w:tr w14:paraId="0B67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2B6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起步区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027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济南新旧动能转换起步区大桥街道济水路起步区政务服务大厅二楼工程审批窗口C30、C32窗口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E8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0531-81175723</w:t>
            </w:r>
          </w:p>
        </w:tc>
      </w:tr>
      <w:tr w14:paraId="3C4B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B5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长清大学城</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156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济南市长清区沃德大道135号济南长清大学城管委会院内审批大厅工程建设专区综合窗口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55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0531-51803212</w:t>
            </w:r>
          </w:p>
        </w:tc>
      </w:tr>
      <w:tr w14:paraId="4DCA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5CD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明水经开区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9CC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济南市章丘区世纪大道7558号明水经济技术开发区企业服务中心5号受理窗口</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28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0531-83221766</w:t>
            </w:r>
          </w:p>
        </w:tc>
      </w:tr>
    </w:tbl>
    <w:p w14:paraId="0AF73991">
      <w:pPr>
        <w:keepNext w:val="0"/>
        <w:keepLines w:val="0"/>
        <w:pageBreakBefore w:val="0"/>
        <w:widowControl w:val="0"/>
        <w:kinsoku/>
        <w:wordWrap/>
        <w:overflowPunct/>
        <w:topLinePunct w:val="0"/>
        <w:autoSpaceDE/>
        <w:autoSpaceDN/>
        <w:bidi w:val="0"/>
        <w:adjustRightInd/>
        <w:snapToGrid/>
        <w:spacing w:line="540" w:lineRule="exact"/>
        <w:ind w:firstLine="652" w:firstLineChars="200"/>
        <w:textAlignment w:val="auto"/>
        <w:rPr>
          <w:rFonts w:ascii="黑体" w:hAnsi="黑体" w:eastAsia="黑体" w:cs="黑体"/>
          <w:sz w:val="31"/>
          <w:szCs w:val="31"/>
        </w:rPr>
      </w:pPr>
      <w:r>
        <w:rPr>
          <w:rFonts w:hint="eastAsia" w:ascii="黑体" w:hAnsi="黑体" w:eastAsia="黑体" w:cs="黑体"/>
          <w:spacing w:val="8"/>
          <w:sz w:val="31"/>
          <w:szCs w:val="31"/>
          <w:lang w:val="en-US" w:eastAsia="zh-CN"/>
        </w:rPr>
        <w:t>十七</w:t>
      </w:r>
      <w:r>
        <w:rPr>
          <w:rFonts w:ascii="黑体" w:hAnsi="黑体" w:eastAsia="黑体" w:cs="黑体"/>
          <w:spacing w:val="8"/>
          <w:sz w:val="31"/>
          <w:szCs w:val="31"/>
        </w:rPr>
        <w:t>、</w:t>
      </w:r>
      <w:r>
        <w:rPr>
          <w:rFonts w:hint="eastAsia" w:ascii="黑体" w:hAnsi="黑体" w:eastAsia="黑体" w:cs="黑体"/>
          <w:spacing w:val="8"/>
          <w:sz w:val="31"/>
          <w:szCs w:val="31"/>
          <w:lang w:val="en-US" w:eastAsia="zh-CN"/>
        </w:rPr>
        <w:t>办理</w:t>
      </w:r>
      <w:r>
        <w:rPr>
          <w:rFonts w:ascii="黑体" w:hAnsi="黑体" w:eastAsia="黑体" w:cs="黑体"/>
          <w:spacing w:val="8"/>
          <w:sz w:val="31"/>
          <w:szCs w:val="31"/>
        </w:rPr>
        <w:t>时间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6081"/>
      </w:tblGrid>
      <w:tr w14:paraId="3E4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78" w:type="dxa"/>
          </w:tcPr>
          <w:p w14:paraId="36F31CDB">
            <w:pPr>
              <w:numPr>
                <w:ilvl w:val="0"/>
                <w:numId w:val="0"/>
              </w:numPr>
              <w:ind w:firstLine="442" w:firstLineChars="200"/>
              <w:rPr>
                <w:rFonts w:hint="eastAsia" w:ascii="仿宋_GB2312" w:hAnsi="仿宋_GB2312" w:eastAsia="仿宋_GB2312" w:cs="仿宋_GB2312"/>
                <w:b/>
                <w:bCs/>
                <w:sz w:val="22"/>
                <w:szCs w:val="22"/>
                <w:vertAlign w:val="baseline"/>
                <w:lang w:val="en-US" w:eastAsia="zh-CN"/>
              </w:rPr>
            </w:pPr>
          </w:p>
          <w:p w14:paraId="0103B0C5">
            <w:pPr>
              <w:numPr>
                <w:ilvl w:val="0"/>
                <w:numId w:val="0"/>
              </w:numPr>
              <w:ind w:firstLine="440" w:firstLineChars="200"/>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区域</w:t>
            </w:r>
          </w:p>
        </w:tc>
        <w:tc>
          <w:tcPr>
            <w:tcW w:w="6081" w:type="dxa"/>
          </w:tcPr>
          <w:p w14:paraId="661B6001">
            <w:pPr>
              <w:numPr>
                <w:ilvl w:val="0"/>
                <w:numId w:val="0"/>
              </w:numPr>
              <w:rPr>
                <w:rFonts w:hint="eastAsia" w:ascii="仿宋_GB2312" w:hAnsi="仿宋_GB2312" w:eastAsia="仿宋_GB2312" w:cs="仿宋_GB2312"/>
                <w:b/>
                <w:bCs/>
                <w:sz w:val="22"/>
                <w:szCs w:val="22"/>
                <w:vertAlign w:val="baseline"/>
                <w:lang w:val="en-US" w:eastAsia="zh-CN"/>
              </w:rPr>
            </w:pPr>
          </w:p>
          <w:p w14:paraId="1FDEDF8D">
            <w:pPr>
              <w:numPr>
                <w:ilvl w:val="0"/>
                <w:numId w:val="0"/>
              </w:numPr>
              <w:ind w:firstLine="2640" w:firstLineChars="1200"/>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办理时间</w:t>
            </w:r>
          </w:p>
        </w:tc>
      </w:tr>
      <w:tr w14:paraId="30C8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78" w:type="dxa"/>
            <w:shd w:val="clear" w:color="auto" w:fill="auto"/>
            <w:vAlign w:val="center"/>
          </w:tcPr>
          <w:p w14:paraId="105775D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市级</w:t>
            </w:r>
          </w:p>
        </w:tc>
        <w:tc>
          <w:tcPr>
            <w:tcW w:w="6081" w:type="dxa"/>
          </w:tcPr>
          <w:p w14:paraId="361644F0">
            <w:pPr>
              <w:numPr>
                <w:ilvl w:val="0"/>
                <w:numId w:val="0"/>
              </w:numP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工作日，上午09：00-12：00，下午13：00-17：00（法定节假日除外）</w:t>
            </w:r>
          </w:p>
        </w:tc>
      </w:tr>
      <w:tr w14:paraId="4219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78" w:type="dxa"/>
            <w:shd w:val="clear" w:color="auto" w:fill="auto"/>
            <w:vAlign w:val="center"/>
          </w:tcPr>
          <w:p w14:paraId="27C936B9">
            <w:pPr>
              <w:keepNext w:val="0"/>
              <w:keepLines w:val="0"/>
              <w:widowControl/>
              <w:suppressLineNumbers w:val="0"/>
              <w:jc w:val="center"/>
              <w:textAlignment w:val="center"/>
              <w:rPr>
                <w:rFonts w:hint="eastAsia" w:ascii="仿宋_GB2312" w:hAnsi="仿宋_GB2312" w:eastAsia="仿宋_GB2312" w:cs="仿宋_GB2312"/>
                <w:i w:val="0"/>
                <w:iCs w:val="0"/>
                <w:color w:val="FF0000"/>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历下区</w:t>
            </w:r>
          </w:p>
        </w:tc>
        <w:tc>
          <w:tcPr>
            <w:tcW w:w="6081" w:type="dxa"/>
          </w:tcPr>
          <w:p w14:paraId="07481854">
            <w:pPr>
              <w:numPr>
                <w:ilvl w:val="0"/>
                <w:numId w:val="0"/>
              </w:numP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工作日，上午09：00-12：00，下午13：00-17：00（法定节假日除外）</w:t>
            </w:r>
          </w:p>
        </w:tc>
      </w:tr>
      <w:tr w14:paraId="3EE8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78" w:type="dxa"/>
            <w:shd w:val="clear" w:color="auto" w:fill="auto"/>
            <w:vAlign w:val="center"/>
          </w:tcPr>
          <w:p w14:paraId="54825FE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市中区</w:t>
            </w:r>
          </w:p>
        </w:tc>
        <w:tc>
          <w:tcPr>
            <w:tcW w:w="6081" w:type="dxa"/>
          </w:tcPr>
          <w:p w14:paraId="0DA4B71B">
            <w:pPr>
              <w:numPr>
                <w:ilvl w:val="0"/>
                <w:numId w:val="0"/>
              </w:numP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 8:30-11:30，下午 13:00-17:00（法定节假日除外）</w:t>
            </w:r>
          </w:p>
        </w:tc>
      </w:tr>
      <w:tr w14:paraId="30B6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4E4A138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天桥区</w:t>
            </w:r>
          </w:p>
        </w:tc>
        <w:tc>
          <w:tcPr>
            <w:tcW w:w="6081" w:type="dxa"/>
          </w:tcPr>
          <w:p w14:paraId="186AF2EB">
            <w:pPr>
              <w:numPr>
                <w:ilvl w:val="0"/>
                <w:numId w:val="0"/>
              </w:numP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 8:30-12:00，下午 13:00-17:00（法定节假日除外）</w:t>
            </w:r>
          </w:p>
        </w:tc>
      </w:tr>
      <w:tr w14:paraId="6509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525024E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槐荫区</w:t>
            </w:r>
          </w:p>
        </w:tc>
        <w:tc>
          <w:tcPr>
            <w:tcW w:w="6081" w:type="dxa"/>
          </w:tcPr>
          <w:p w14:paraId="70445FA8">
            <w:pPr>
              <w:numPr>
                <w:ilvl w:val="0"/>
                <w:numId w:val="0"/>
              </w:numP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工作日，上午08:30-11:45，下午13:30-17:00（法定节假日除外）</w:t>
            </w:r>
          </w:p>
        </w:tc>
      </w:tr>
      <w:tr w14:paraId="17A3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4E9BE60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历城区</w:t>
            </w:r>
          </w:p>
        </w:tc>
        <w:tc>
          <w:tcPr>
            <w:tcW w:w="6081" w:type="dxa"/>
          </w:tcPr>
          <w:p w14:paraId="434F781F">
            <w:pPr>
              <w:numPr>
                <w:ilvl w:val="0"/>
                <w:numId w:val="0"/>
              </w:numPr>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工作日，上午09：00-12：00，下午13：00-17：00（法定节假日除外）</w:t>
            </w:r>
          </w:p>
        </w:tc>
      </w:tr>
      <w:tr w14:paraId="2AEE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1F37B080">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长清区</w:t>
            </w:r>
          </w:p>
        </w:tc>
        <w:tc>
          <w:tcPr>
            <w:tcW w:w="6081" w:type="dxa"/>
          </w:tcPr>
          <w:p w14:paraId="7BEF5F60">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工作日，上午08：30-11：30，下午13：30-17：00（法定节假日除外）</w:t>
            </w:r>
          </w:p>
        </w:tc>
      </w:tr>
      <w:tr w14:paraId="4D96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6CCC3026">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平阴县</w:t>
            </w:r>
          </w:p>
        </w:tc>
        <w:tc>
          <w:tcPr>
            <w:tcW w:w="6081" w:type="dxa"/>
          </w:tcPr>
          <w:p w14:paraId="73EF42DE">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工作日，上午08:30-12:00，下午14:00-17:30（法定节假日除外）</w:t>
            </w:r>
          </w:p>
        </w:tc>
      </w:tr>
      <w:tr w14:paraId="5EC7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684C3EB6">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商河县</w:t>
            </w:r>
          </w:p>
        </w:tc>
        <w:tc>
          <w:tcPr>
            <w:tcW w:w="6081" w:type="dxa"/>
          </w:tcPr>
          <w:p w14:paraId="51035028">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工作日，上午08：30-11：30，下午14：00-17：30（法定节假日除外）</w:t>
            </w:r>
          </w:p>
        </w:tc>
      </w:tr>
      <w:tr w14:paraId="0AAB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79B9E01E">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济阳区</w:t>
            </w:r>
          </w:p>
        </w:tc>
        <w:tc>
          <w:tcPr>
            <w:tcW w:w="6081" w:type="dxa"/>
          </w:tcPr>
          <w:p w14:paraId="60C3B9FC">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每年5月1日至9月30日，上午8:30—11:30，下午14:00—17:30（法定节假日除外）；每年10月1日至次年4月30日，上午8:30—11:30，下午13:30—17:00（法定节假日除外）</w:t>
            </w:r>
          </w:p>
        </w:tc>
      </w:tr>
      <w:tr w14:paraId="7760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5A52AB0A">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莱芜区</w:t>
            </w:r>
          </w:p>
        </w:tc>
        <w:tc>
          <w:tcPr>
            <w:tcW w:w="6081" w:type="dxa"/>
          </w:tcPr>
          <w:p w14:paraId="0FBA1307">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工作日，上午08：30-11：30，下午14：00-17：30（法定节假日除外）</w:t>
            </w:r>
          </w:p>
        </w:tc>
      </w:tr>
      <w:tr w14:paraId="3D89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555B9D89">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高新区</w:t>
            </w:r>
          </w:p>
        </w:tc>
        <w:tc>
          <w:tcPr>
            <w:tcW w:w="6081" w:type="dxa"/>
          </w:tcPr>
          <w:p w14:paraId="332F75DA">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工作日，上午09：00-12：00，下午13：00-17：00（法定节假日除外）</w:t>
            </w:r>
          </w:p>
        </w:tc>
      </w:tr>
      <w:tr w14:paraId="1E10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3DD0BD9E">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钢城区</w:t>
            </w:r>
          </w:p>
        </w:tc>
        <w:tc>
          <w:tcPr>
            <w:tcW w:w="6081" w:type="dxa"/>
          </w:tcPr>
          <w:p w14:paraId="6CC21413">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每年5月1日至10月1日，工作日周一至周五上午8:30-11：30，下午14:00-17:30（法定节假日除外）；每年10月2日至次年4月30日，工作日周一至周五上午8:30-11:30，下午14:00-17:00（法定节假日除外）</w:t>
            </w:r>
          </w:p>
        </w:tc>
      </w:tr>
      <w:tr w14:paraId="4B7A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78" w:type="dxa"/>
            <w:shd w:val="clear" w:color="auto" w:fill="auto"/>
            <w:vAlign w:val="center"/>
          </w:tcPr>
          <w:p w14:paraId="0D999E51">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章丘区</w:t>
            </w:r>
          </w:p>
        </w:tc>
        <w:tc>
          <w:tcPr>
            <w:tcW w:w="6081" w:type="dxa"/>
          </w:tcPr>
          <w:p w14:paraId="2F67237E">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工作日，上午08:30-12:00，下午13:30-17:30（法定节假日除外）</w:t>
            </w:r>
          </w:p>
        </w:tc>
      </w:tr>
      <w:tr w14:paraId="2A84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3519FD70">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起步区</w:t>
            </w:r>
          </w:p>
        </w:tc>
        <w:tc>
          <w:tcPr>
            <w:tcW w:w="6081" w:type="dxa"/>
          </w:tcPr>
          <w:p w14:paraId="3A29A60E">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工作日，上午09：00-12：00，下午13：00-17：00（法定节假日除外）</w:t>
            </w:r>
          </w:p>
        </w:tc>
      </w:tr>
      <w:tr w14:paraId="6A6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78" w:type="dxa"/>
            <w:shd w:val="clear" w:color="auto" w:fill="auto"/>
            <w:vAlign w:val="center"/>
          </w:tcPr>
          <w:p w14:paraId="25A188A4">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南部山区</w:t>
            </w:r>
          </w:p>
        </w:tc>
        <w:tc>
          <w:tcPr>
            <w:tcW w:w="6081" w:type="dxa"/>
          </w:tcPr>
          <w:p w14:paraId="3A28FA1E">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上午09：00-11：30，下午13：00-17：00（法定节假日除外）</w:t>
            </w:r>
          </w:p>
        </w:tc>
      </w:tr>
      <w:tr w14:paraId="6198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78" w:type="dxa"/>
            <w:shd w:val="clear" w:color="auto" w:fill="auto"/>
            <w:vAlign w:val="center"/>
          </w:tcPr>
          <w:p w14:paraId="1CCCDFF3">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长清大学城</w:t>
            </w:r>
          </w:p>
        </w:tc>
        <w:tc>
          <w:tcPr>
            <w:tcW w:w="6081" w:type="dxa"/>
          </w:tcPr>
          <w:p w14:paraId="2D272DE7">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工作日，上午08：30-11：30，下午13：30-17：00（法定节假日除外）</w:t>
            </w:r>
          </w:p>
        </w:tc>
      </w:tr>
      <w:tr w14:paraId="675A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6753423E">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明水经开区</w:t>
            </w:r>
          </w:p>
        </w:tc>
        <w:tc>
          <w:tcPr>
            <w:tcW w:w="6081" w:type="dxa"/>
          </w:tcPr>
          <w:p w14:paraId="616834A0">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每年5月1日至9月30日，上午8:30—11:30，下午14:00—17:30（法定节假日除外）；每年10月1日至次年4月30日，上午8:30—11:30，下午13:30—17:00（法定节假日除外）</w:t>
            </w:r>
          </w:p>
        </w:tc>
      </w:tr>
      <w:tr w14:paraId="2606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shd w:val="clear" w:color="auto" w:fill="auto"/>
            <w:vAlign w:val="center"/>
          </w:tcPr>
          <w:p w14:paraId="087167D3">
            <w:pPr>
              <w:numPr>
                <w:ilvl w:val="0"/>
                <w:numId w:val="0"/>
              </w:num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莱芜高新</w:t>
            </w:r>
          </w:p>
        </w:tc>
        <w:tc>
          <w:tcPr>
            <w:tcW w:w="6081" w:type="dxa"/>
          </w:tcPr>
          <w:p w14:paraId="0F883A18">
            <w:pPr>
              <w:numPr>
                <w:ilvl w:val="0"/>
                <w:numId w:val="0"/>
              </w:numP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工作日，上午08：30-11：30，下午14：00-17：30（法定节假日除外）</w:t>
            </w:r>
          </w:p>
        </w:tc>
      </w:tr>
    </w:tbl>
    <w:p w14:paraId="3CD1954A">
      <w:pPr>
        <w:pStyle w:val="6"/>
        <w:keepNext w:val="0"/>
        <w:keepLines w:val="0"/>
        <w:pageBreakBefore w:val="0"/>
        <w:widowControl w:val="0"/>
        <w:numPr>
          <w:ilvl w:val="0"/>
          <w:numId w:val="0"/>
        </w:numPr>
        <w:kinsoku/>
        <w:wordWrap/>
        <w:overflowPunct/>
        <w:topLinePunct w:val="0"/>
        <w:bidi w:val="0"/>
        <w:ind w:firstLine="640" w:firstLineChars="200"/>
        <w:rPr>
          <w:rFonts w:ascii="黑体" w:hAnsi="黑体" w:eastAsia="黑体" w:cs="黑体"/>
          <w:spacing w:val="5"/>
          <w:sz w:val="31"/>
          <w:szCs w:val="31"/>
        </w:rPr>
      </w:pPr>
      <w:r>
        <w:rPr>
          <w:rFonts w:hint="eastAsia" w:ascii="黑体" w:hAnsi="黑体" w:eastAsia="黑体" w:cs="黑体"/>
          <w:color w:val="auto"/>
          <w:sz w:val="32"/>
          <w:szCs w:val="32"/>
          <w:lang w:val="en-US" w:eastAsia="zh-CN"/>
        </w:rPr>
        <w:t>十八、咨询电话</w:t>
      </w:r>
    </w:p>
    <w:tbl>
      <w:tblPr>
        <w:tblStyle w:val="3"/>
        <w:tblW w:w="54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5"/>
        <w:gridCol w:w="3452"/>
      </w:tblGrid>
      <w:tr w14:paraId="66E4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FFD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 xml:space="preserve">      名称</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2F74">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建设工程规划许可“一件事”咨询电话</w:t>
            </w:r>
          </w:p>
        </w:tc>
      </w:tr>
      <w:tr w14:paraId="06AD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AC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市级</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DB0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0531-68967400、68967474</w:t>
            </w:r>
          </w:p>
        </w:tc>
      </w:tr>
      <w:tr w14:paraId="5659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9AA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历城区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3798">
            <w:pPr>
              <w:keepNext w:val="0"/>
              <w:keepLines w:val="0"/>
              <w:widowControl/>
              <w:suppressLineNumbers w:val="0"/>
              <w:ind w:firstLine="660" w:firstLineChars="30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0531-66899387</w:t>
            </w:r>
          </w:p>
        </w:tc>
      </w:tr>
      <w:tr w14:paraId="799B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F33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长清区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F1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0531-87236696</w:t>
            </w:r>
          </w:p>
        </w:tc>
      </w:tr>
      <w:tr w14:paraId="11D2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A3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平阴县</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370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rPr>
              <w:t>0531-87854108</w:t>
            </w:r>
          </w:p>
        </w:tc>
      </w:tr>
      <w:tr w14:paraId="7602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74E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商河县</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D9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0531-84881651</w:t>
            </w:r>
          </w:p>
        </w:tc>
      </w:tr>
      <w:tr w14:paraId="1120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093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济阳区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D4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0531-84237809</w:t>
            </w:r>
          </w:p>
        </w:tc>
      </w:tr>
      <w:tr w14:paraId="58C2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D49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莱芜区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2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0531-76126712</w:t>
            </w:r>
          </w:p>
        </w:tc>
      </w:tr>
      <w:tr w14:paraId="012E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7A5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高新区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DA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0531-88875593</w:t>
            </w:r>
          </w:p>
        </w:tc>
      </w:tr>
      <w:tr w14:paraId="69B7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ED8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钢城区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FE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0531-76895025</w:t>
            </w:r>
          </w:p>
        </w:tc>
      </w:tr>
      <w:tr w14:paraId="1EDF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005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章丘区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7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0531-83278072</w:t>
            </w:r>
          </w:p>
        </w:tc>
      </w:tr>
      <w:tr w14:paraId="1CEC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A3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起步区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28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0531-81175723</w:t>
            </w:r>
          </w:p>
        </w:tc>
      </w:tr>
      <w:tr w14:paraId="6EDD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890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长清大学城</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79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0531-51803212</w:t>
            </w:r>
          </w:p>
        </w:tc>
      </w:tr>
      <w:tr w14:paraId="4373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F50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明水经开区</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3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0531-83221766</w:t>
            </w:r>
          </w:p>
        </w:tc>
      </w:tr>
    </w:tbl>
    <w:p w14:paraId="48DE1F6B">
      <w:pPr>
        <w:numPr>
          <w:ilvl w:val="0"/>
          <w:numId w:val="0"/>
        </w:numPr>
        <w:ind w:firstLine="652" w:firstLineChars="200"/>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十九、结果送达方式：</w:t>
      </w:r>
    </w:p>
    <w:p w14:paraId="0286795E">
      <w:pPr>
        <w:numPr>
          <w:ilvl w:val="0"/>
          <w:numId w:val="0"/>
        </w:numPr>
        <w:ind w:firstLine="640" w:firstLineChars="200"/>
        <w:rPr>
          <w:rFonts w:hint="default" w:ascii="FangSong_GB2312" w:hAnsi="FangSong_GB2312" w:eastAsia="FangSong_GB2312" w:cs="FangSong_GB2312"/>
          <w:spacing w:val="7"/>
          <w:sz w:val="31"/>
          <w:szCs w:val="31"/>
          <w:lang w:val="en-US" w:eastAsia="zh-CN"/>
        </w:rPr>
      </w:pPr>
      <w:r>
        <w:rPr>
          <w:rFonts w:hint="eastAsia" w:ascii="仿宋_GB2312" w:hAnsi="宋体" w:eastAsia="仿宋_GB2312" w:cs="方正兰亭黑2_GBK"/>
          <w:color w:val="000000"/>
          <w:kern w:val="0"/>
          <w:sz w:val="32"/>
          <w:szCs w:val="32"/>
          <w:lang w:val="en-US" w:eastAsia="zh-CN" w:bidi="ar-SA"/>
        </w:rPr>
        <w:t xml:space="preserve">1.窗口领取 </w:t>
      </w:r>
      <w:r>
        <w:rPr>
          <w:rFonts w:hint="eastAsia" w:ascii="FangSong_GB2312" w:hAnsi="FangSong_GB2312" w:eastAsia="FangSong_GB2312" w:cs="FangSong_GB2312"/>
          <w:spacing w:val="7"/>
          <w:sz w:val="31"/>
          <w:szCs w:val="31"/>
          <w:lang w:val="en-US" w:eastAsia="zh-CN"/>
        </w:rPr>
        <w:t>各级政务服务中心建设工程规划许可“一件事”窗口办理</w:t>
      </w:r>
    </w:p>
    <w:p w14:paraId="1AEEC372">
      <w:pPr>
        <w:numPr>
          <w:ilvl w:val="0"/>
          <w:numId w:val="0"/>
        </w:numPr>
        <w:ind w:firstLine="640" w:firstLineChars="200"/>
        <w:rPr>
          <w:rFonts w:hint="eastAsia" w:ascii="仿宋_GB2312" w:hAnsi="宋体" w:eastAsia="仿宋_GB2312" w:cs="方正兰亭黑2_GBK"/>
          <w:color w:val="000000"/>
          <w:kern w:val="0"/>
          <w:sz w:val="32"/>
          <w:szCs w:val="32"/>
          <w:lang w:val="en-US" w:eastAsia="zh-CN" w:bidi="ar-SA"/>
        </w:rPr>
      </w:pPr>
      <w:r>
        <w:rPr>
          <w:rFonts w:hint="eastAsia" w:ascii="仿宋_GB2312" w:hAnsi="宋体" w:eastAsia="仿宋_GB2312" w:cs="方正兰亭黑2_GBK"/>
          <w:color w:val="000000"/>
          <w:kern w:val="0"/>
          <w:sz w:val="32"/>
          <w:szCs w:val="32"/>
          <w:lang w:val="en-US" w:eastAsia="zh-CN" w:bidi="ar-SA"/>
        </w:rPr>
        <w:t>2.免费邮寄送达</w:t>
      </w:r>
    </w:p>
    <w:p w14:paraId="106116BB">
      <w:pPr>
        <w:numPr>
          <w:ilvl w:val="0"/>
          <w:numId w:val="0"/>
        </w:numPr>
        <w:ind w:firstLine="640" w:firstLineChars="200"/>
        <w:rPr>
          <w:rFonts w:hint="eastAsia" w:ascii="仿宋_GB2312" w:hAnsi="宋体" w:eastAsia="仿宋_GB2312" w:cs="方正兰亭黑2_GBK"/>
          <w:color w:val="000000"/>
          <w:kern w:val="0"/>
          <w:sz w:val="32"/>
          <w:szCs w:val="32"/>
          <w:lang w:val="en-US" w:eastAsia="zh-CN" w:bidi="ar-SA"/>
        </w:rPr>
      </w:pPr>
      <w:r>
        <w:rPr>
          <w:rFonts w:hint="eastAsia" w:ascii="仿宋_GB2312" w:hAnsi="宋体" w:eastAsia="仿宋_GB2312" w:cs="方正兰亭黑2_GBK"/>
          <w:color w:val="000000"/>
          <w:kern w:val="0"/>
          <w:sz w:val="32"/>
          <w:szCs w:val="32"/>
          <w:lang w:val="en-US" w:eastAsia="zh-CN" w:bidi="ar-SA"/>
        </w:rPr>
        <w:t>3.网站下载 申请人登录“济南政务服务一网通办”网站，进入该企业用户中心，点击“我的证明证照”按键自行下载相关电子证照</w:t>
      </w:r>
    </w:p>
    <w:p w14:paraId="78DCA239">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二十、事项类型</w:t>
      </w:r>
    </w:p>
    <w:p w14:paraId="0CEAFF46">
      <w:pPr>
        <w:keepNext w:val="0"/>
        <w:keepLines w:val="0"/>
        <w:pageBreakBefore w:val="0"/>
        <w:widowControl w:val="0"/>
        <w:kinsoku/>
        <w:wordWrap/>
        <w:overflowPunct/>
        <w:topLinePunct w:val="0"/>
        <w:autoSpaceDE/>
        <w:autoSpaceDN/>
        <w:bidi w:val="0"/>
        <w:adjustRightInd/>
        <w:snapToGrid/>
        <w:spacing w:line="540" w:lineRule="exact"/>
        <w:ind w:firstLine="652" w:firstLineChars="200"/>
        <w:textAlignment w:val="auto"/>
        <w:rPr>
          <w:rFonts w:hint="default" w:ascii="黑体" w:hAnsi="黑体" w:eastAsia="黑体" w:cs="黑体"/>
          <w:spacing w:val="8"/>
          <w:sz w:val="31"/>
          <w:szCs w:val="31"/>
          <w:lang w:val="en-US" w:eastAsia="zh-CN"/>
        </w:rPr>
      </w:pPr>
      <w:r>
        <w:rPr>
          <w:rFonts w:hint="eastAsia" w:ascii="FangSong_GB2312" w:hAnsi="FangSong_GB2312" w:eastAsia="FangSong_GB2312" w:cs="FangSong_GB2312"/>
          <w:spacing w:val="8"/>
          <w:sz w:val="31"/>
          <w:szCs w:val="31"/>
          <w:lang w:val="en-US" w:eastAsia="zh-CN"/>
        </w:rPr>
        <w:t>联办事项</w:t>
      </w:r>
    </w:p>
    <w:p w14:paraId="562A51E2">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二十一、监督电话</w:t>
      </w:r>
    </w:p>
    <w:p w14:paraId="640EC4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FangSong_GB2312" w:hAnsi="FangSong_GB2312" w:eastAsia="宋体" w:cs="FangSong_GB2312"/>
          <w:spacing w:val="8"/>
          <w:sz w:val="31"/>
          <w:szCs w:val="31"/>
          <w:lang w:val="en-US" w:eastAsia="zh-CN"/>
        </w:rPr>
      </w:pPr>
      <w:r>
        <w:rPr>
          <w:rFonts w:hint="eastAsia" w:ascii="FangSong_GB2312" w:hAnsi="FangSong_GB2312" w:eastAsia="FangSong_GB2312" w:cs="FangSong_GB2312"/>
          <w:spacing w:val="8"/>
          <w:sz w:val="31"/>
          <w:szCs w:val="31"/>
          <w:lang w:val="en-US" w:eastAsia="zh-CN"/>
        </w:rPr>
        <w:t xml:space="preserve">  </w:t>
      </w:r>
      <w:r>
        <w:rPr>
          <w:rFonts w:hint="eastAsia" w:ascii="宋体" w:hAnsi="宋体" w:eastAsia="宋体" w:cs="宋体"/>
          <w:sz w:val="32"/>
          <w:szCs w:val="32"/>
        </w:rPr>
        <w:t>0531-</w:t>
      </w:r>
      <w:r>
        <w:rPr>
          <w:rFonts w:hint="eastAsia" w:ascii="宋体" w:hAnsi="宋体" w:eastAsia="宋体" w:cs="宋体"/>
          <w:color w:val="auto"/>
          <w:sz w:val="32"/>
          <w:szCs w:val="32"/>
          <w:lang w:val="en-US" w:eastAsia="zh-CN"/>
        </w:rPr>
        <w:t>12345</w:t>
      </w:r>
    </w:p>
    <w:p w14:paraId="746973E3">
      <w:pPr>
        <w:pStyle w:val="6"/>
        <w:keepNext w:val="0"/>
        <w:keepLines w:val="0"/>
        <w:pageBreakBefore w:val="0"/>
        <w:widowControl w:val="0"/>
        <w:numPr>
          <w:ilvl w:val="0"/>
          <w:numId w:val="0"/>
        </w:numPr>
        <w:kinsoku/>
        <w:wordWrap/>
        <w:overflowPunct/>
        <w:topLinePunct w:val="0"/>
        <w:bidi w:val="0"/>
        <w:snapToGrid/>
        <w:spacing w:line="560" w:lineRule="exact"/>
        <w:ind w:leftChars="3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二十二、快递物流</w:t>
      </w:r>
    </w:p>
    <w:p w14:paraId="53D9F2AB">
      <w:pPr>
        <w:numPr>
          <w:ilvl w:val="0"/>
          <w:numId w:val="0"/>
        </w:numPr>
        <w:ind w:firstLine="640" w:firstLineChars="200"/>
        <w:rPr>
          <w:rFonts w:hint="default" w:ascii="FangSong_GB2312" w:hAnsi="FangSong_GB2312" w:eastAsia="FangSong_GB2312" w:cs="FangSong_GB2312"/>
          <w:spacing w:val="7"/>
          <w:sz w:val="31"/>
          <w:szCs w:val="31"/>
          <w:lang w:val="en-US" w:eastAsia="zh-CN"/>
        </w:rPr>
      </w:pPr>
      <w:r>
        <w:rPr>
          <w:rFonts w:hint="eastAsia" w:ascii="仿宋_GB2312" w:hAnsi="宋体" w:eastAsia="仿宋_GB2312" w:cs="方正兰亭黑2_GBK"/>
          <w:sz w:val="32"/>
          <w:szCs w:val="32"/>
          <w:lang w:val="en-US" w:eastAsia="zh-CN"/>
        </w:rPr>
        <w:t>支持邮寄送达，接收地址:</w:t>
      </w:r>
      <w:r>
        <w:rPr>
          <w:rFonts w:hint="eastAsia" w:ascii="FangSong_GB2312" w:hAnsi="FangSong_GB2312" w:eastAsia="FangSong_GB2312" w:cs="FangSong_GB2312"/>
          <w:spacing w:val="7"/>
          <w:sz w:val="31"/>
          <w:szCs w:val="31"/>
          <w:lang w:val="en-US" w:eastAsia="zh-CN"/>
        </w:rPr>
        <w:t>各级政务服务中心建设工程规划许可“一件事”窗口办理</w:t>
      </w:r>
    </w:p>
    <w:p w14:paraId="67979BD3">
      <w:pPr>
        <w:pStyle w:val="6"/>
        <w:keepNext w:val="0"/>
        <w:keepLines w:val="0"/>
        <w:pageBreakBefore w:val="0"/>
        <w:widowControl w:val="0"/>
        <w:numPr>
          <w:ilvl w:val="0"/>
          <w:numId w:val="0"/>
        </w:numPr>
        <w:kinsoku/>
        <w:wordWrap/>
        <w:overflowPunct/>
        <w:topLinePunct w:val="0"/>
        <w:bidi w:val="0"/>
        <w:snapToGrid/>
        <w:spacing w:line="560" w:lineRule="exact"/>
        <w:ind w:firstLine="640" w:firstLineChars="200"/>
        <w:rPr>
          <w:rFonts w:hint="eastAsia" w:ascii="仿宋_GB2312" w:hAnsi="宋体" w:eastAsia="仿宋_GB2312" w:cs="方正兰亭黑2_GBK"/>
          <w:sz w:val="32"/>
          <w:szCs w:val="32"/>
          <w:lang w:val="en-US" w:eastAsia="zh-CN"/>
        </w:rPr>
      </w:pPr>
    </w:p>
    <w:p w14:paraId="1F8454A9"/>
    <w:p w14:paraId="472352A9"/>
    <w:p w14:paraId="591D1718">
      <w:pPr>
        <w:pStyle w:val="6"/>
        <w:keepNext w:val="0"/>
        <w:keepLines w:val="0"/>
        <w:pageBreakBefore w:val="0"/>
        <w:widowControl w:val="0"/>
        <w:kinsoku/>
        <w:wordWrap/>
        <w:overflowPunct/>
        <w:topLinePunct w:val="0"/>
        <w:bidi w:val="0"/>
        <w:snapToGrid/>
        <w:spacing w:line="540" w:lineRule="exact"/>
        <w:ind w:firstLine="48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兰亭黑2_GBK">
    <w:altName w:val="黑体"/>
    <w:panose1 w:val="02000000000000000000"/>
    <w:charset w:val="86"/>
    <w:family w:val="auto"/>
    <w:pitch w:val="default"/>
    <w:sig w:usb0="00000000" w:usb1="00000000" w:usb2="00000010" w:usb3="00000000" w:csb0="00040000" w:csb1="00000000"/>
  </w:font>
  <w:font w:name="文星标宋">
    <w:altName w:val="微软雅黑"/>
    <w:panose1 w:val="0201060900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94373"/>
    <w:multiLevelType w:val="singleLevel"/>
    <w:tmpl w:val="8FC94373"/>
    <w:lvl w:ilvl="0" w:tentative="0">
      <w:start w:val="10"/>
      <w:numFmt w:val="chineseCounting"/>
      <w:suff w:val="nothing"/>
      <w:lvlText w:val="%1、"/>
      <w:lvlJc w:val="left"/>
      <w:rPr>
        <w:rFonts w:hint="eastAsia"/>
      </w:rPr>
    </w:lvl>
  </w:abstractNum>
  <w:abstractNum w:abstractNumId="1">
    <w:nsid w:val="D5BF7B84"/>
    <w:multiLevelType w:val="singleLevel"/>
    <w:tmpl w:val="D5BF7B84"/>
    <w:lvl w:ilvl="0" w:tentative="0">
      <w:start w:val="3"/>
      <w:numFmt w:val="chineseCounting"/>
      <w:suff w:val="nothing"/>
      <w:lvlText w:val="%1、"/>
      <w:lvlJc w:val="left"/>
      <w:rPr>
        <w:rFonts w:hint="eastAsia"/>
      </w:rPr>
    </w:lvl>
  </w:abstractNum>
  <w:abstractNum w:abstractNumId="2">
    <w:nsid w:val="612A37E0"/>
    <w:multiLevelType w:val="singleLevel"/>
    <w:tmpl w:val="612A37E0"/>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81862"/>
    <w:rsid w:val="051E25B2"/>
    <w:rsid w:val="091E1DA0"/>
    <w:rsid w:val="25C443AE"/>
    <w:rsid w:val="2AE447A1"/>
    <w:rsid w:val="2EFB012B"/>
    <w:rsid w:val="3C3867B8"/>
    <w:rsid w:val="3D605157"/>
    <w:rsid w:val="414A1DD1"/>
    <w:rsid w:val="418D4C27"/>
    <w:rsid w:val="4488746D"/>
    <w:rsid w:val="52C27594"/>
    <w:rsid w:val="66581862"/>
    <w:rsid w:val="710B0CD2"/>
    <w:rsid w:val="79032A98"/>
    <w:rsid w:val="7A83346B"/>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0"/>
      <w:szCs w:val="60"/>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基本段落]"/>
    <w:basedOn w:val="1"/>
    <w:qFormat/>
    <w:uiPriority w:val="99"/>
    <w:pPr>
      <w:autoSpaceDE w:val="0"/>
      <w:autoSpaceDN w:val="0"/>
      <w:adjustRightInd w:val="0"/>
      <w:spacing w:line="288" w:lineRule="auto"/>
      <w:textAlignment w:val="center"/>
    </w:pPr>
    <w:rPr>
      <w:rFonts w:ascii="宋体" w:eastAsia="宋体" w:cs="宋体"/>
      <w:color w:val="000000"/>
      <w:kern w:val="0"/>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4564</Words>
  <Characters>4768</Characters>
  <Lines>0</Lines>
  <Paragraphs>0</Paragraphs>
  <TotalTime>2</TotalTime>
  <ScaleCrop>false</ScaleCrop>
  <LinksUpToDate>false</LinksUpToDate>
  <CharactersWithSpaces>4779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2024-12-04T01:35:00Z</dcterms:created>
  <dc:creator>小娜</dc:creator>
  <cp:lastModifiedBy>凉笙墨染</cp:lastModifiedBy>
  <dcterms:modified xsi:type="dcterms:W3CDTF">2025-11-20T09:30:50Z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985F8F407DD04B49A9619FF3BB46FC23_11</vt:lpwstr>
  </property>
  <property fmtid="{D5CDD505-2E9C-101B-9397-08002B2CF9AE}" pid="4" name="KSOTemplateDocerSaveRecord">
    <vt:lpwstr>eyJoZGlkIjoiNGEwNWY4NDQxN2E2MGM3MjdiNDhjNjc3MDlhM2IyMDYiLCJ1c2VySWQiOiI2NjAyMTU2In0=</vt:lpwstr>
  </property>
</Properties>
</file>